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0.png" ContentType="image/png"/>
  <Override PartName="/word/media/rId30.png" ContentType="image/png"/>
  <Override PartName="/word/media/rId36.png" ContentType="image/png"/>
  <Override PartName="/word/media/rId45.png" ContentType="image/png"/>
  <Override PartName="/word/media/rId39.png" ContentType="image/png"/>
  <Override PartName="/word/media/rId49.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BWI-Datenzusammenfassung</w:t>
      </w:r>
      <w:r>
        <w:t xml:space="preserve"> </w:t>
      </w:r>
      <w:r>
        <w:t xml:space="preserve">-</w:t>
      </w:r>
      <w:r>
        <w:t xml:space="preserve"> </w:t>
      </w:r>
      <w:r>
        <w:t xml:space="preserve">LFE-MLUK</w:t>
      </w:r>
    </w:p>
    <w:p>
      <w:pPr>
        <w:pStyle w:val="Subtitle"/>
      </w:pPr>
      <w:r>
        <w:t xml:space="preserve">Diskussionsgrundlage</w:t>
      </w:r>
      <w:r>
        <w:t xml:space="preserve"> </w:t>
      </w:r>
      <w:r>
        <w:t xml:space="preserve">zu</w:t>
      </w:r>
      <w:r>
        <w:t xml:space="preserve"> </w:t>
      </w:r>
      <w:r>
        <w:t xml:space="preserve">den</w:t>
      </w:r>
      <w:r>
        <w:t xml:space="preserve"> </w:t>
      </w:r>
      <w:r>
        <w:t xml:space="preserve">Daten</w:t>
      </w:r>
      <w:r>
        <w:t xml:space="preserve"> </w:t>
      </w:r>
      <w:r>
        <w:t xml:space="preserve">der</w:t>
      </w:r>
      <w:r>
        <w:t xml:space="preserve"> </w:t>
      </w:r>
      <w:r>
        <w:t xml:space="preserve">BWI</w:t>
      </w:r>
      <w:r>
        <w:t xml:space="preserve"> </w:t>
      </w:r>
      <w:r>
        <w:t xml:space="preserve">2022</w:t>
      </w:r>
    </w:p>
    <w:p>
      <w:pPr>
        <w:pStyle w:val="Author"/>
      </w:pPr>
      <w:r>
        <w:t xml:space="preserve">Sebastian</w:t>
      </w:r>
      <w:r>
        <w:t xml:space="preserve"> </w:t>
      </w:r>
      <w:r>
        <w:t xml:space="preserve">Schmidt</w:t>
      </w:r>
      <w:r>
        <w:t xml:space="preserve"> </w:t>
      </w:r>
      <w:r>
        <w:t xml:space="preserve">und</w:t>
      </w:r>
      <w:r>
        <w:t xml:space="preserve"> </w:t>
      </w:r>
      <w:r>
        <w:t xml:space="preserve">Torsten</w:t>
      </w:r>
      <w:r>
        <w:t xml:space="preserve"> </w:t>
      </w:r>
      <w:r>
        <w:t xml:space="preserve">Wiebke</w:t>
      </w:r>
    </w:p>
    <w:p>
      <w:pPr>
        <w:pStyle w:val="Date"/>
      </w:pPr>
      <w:r>
        <w:t xml:space="preserve">Stand</w:t>
      </w:r>
      <w:r>
        <w:t xml:space="preserve"> </w:t>
      </w:r>
      <w:r>
        <w:t xml:space="preserve">2.</w:t>
      </w:r>
      <w:r>
        <w:t xml:space="preserve"> </w:t>
      </w:r>
      <w:r>
        <w:t xml:space="preserve">9.</w:t>
      </w:r>
      <w:r>
        <w:t xml:space="preserve"> </w:t>
      </w:r>
      <w:r>
        <w:t xml:space="preserve">2024</w:t>
      </w:r>
    </w:p>
    <w:sdt>
      <w:sdtPr>
        <w:docPartObj>
          <w:docPartGallery w:val="Table of Contents"/>
          <w:docPartUnique/>
        </w:docPartObj>
      </w:sdtPr>
      <w:sdtContent>
        <w:p>
          <w:pPr>
            <w:pStyle w:val="TOCHeading"/>
          </w:pPr>
          <w:r>
            <w:t xml:space="preserve">Inhaltsverzeichnis</w:t>
          </w:r>
        </w:p>
        <w:p>
          <w:r>
            <w:fldChar w:fldCharType="begin" w:dirty="true"/>
            <w:instrText xml:space="preserve">TOC \o "1-3" \h \z \u</w:instrText>
            <w:fldChar w:fldCharType="separate"/>
            <w:fldChar w:fldCharType="end"/>
          </w:r>
        </w:p>
      </w:sdtContent>
    </w:sdt>
    <w:bookmarkStart w:id="29" w:name="X8263dda71b8d271e5c452dc6c612b88469f49b8"/>
    <w:p>
      <w:pPr>
        <w:pStyle w:val="Heading1"/>
      </w:pPr>
      <w:r>
        <w:t xml:space="preserve">Die vierte Bundeswaldinventur 2022 (BWI 2022)</w:t>
      </w:r>
    </w:p>
    <w:p>
      <w:pPr>
        <w:pStyle w:val="FirstParagraph"/>
      </w:pPr>
      <w:r>
        <w:t xml:space="preserve">Die Bundeswaldinventur (BWI) ist eine umfassende Erhebung der</w:t>
      </w:r>
      <w:r>
        <w:t xml:space="preserve"> </w:t>
      </w:r>
      <w:r>
        <w:t xml:space="preserve">großräumigen Waldverhältnisse in Deutschland, die alle zehn Jahre</w:t>
      </w:r>
      <w:r>
        <w:t xml:space="preserve"> </w:t>
      </w:r>
      <w:r>
        <w:t xml:space="preserve">durchgeführt wird. Sie basiert auf einem systematischen</w:t>
      </w:r>
      <w:r>
        <w:t xml:space="preserve"> </w:t>
      </w:r>
      <w:r>
        <w:t xml:space="preserve">Stichprobenverfahren und hat das Ziel, Daten über die Waldflächen,</w:t>
      </w:r>
      <w:r>
        <w:t xml:space="preserve"> </w:t>
      </w:r>
      <w:r>
        <w:t xml:space="preserve">Baumarten, Holzvorräte, den Zustand der Wälder sowie deren Entwicklung</w:t>
      </w:r>
      <w:r>
        <w:t xml:space="preserve"> </w:t>
      </w:r>
      <w:r>
        <w:t xml:space="preserve">zu sammeln. Die BWI ist gesetzlich im Bundeswaldgesetz verankert und</w:t>
      </w:r>
      <w:r>
        <w:t xml:space="preserve"> </w:t>
      </w:r>
      <w:r>
        <w:t xml:space="preserve">wird vom Bundesministerium für Ernährung und Landwirtschaft (BMEL) in</w:t>
      </w:r>
      <w:r>
        <w:t xml:space="preserve"> </w:t>
      </w:r>
      <w:r>
        <w:t xml:space="preserve">Zusammenarbeit mit den Bundesländern koordiniert. Die gesammelten Daten</w:t>
      </w:r>
      <w:r>
        <w:t xml:space="preserve"> </w:t>
      </w:r>
      <w:r>
        <w:t xml:space="preserve">dienen als Grundlage für:</w:t>
      </w:r>
    </w:p>
    <w:p>
      <w:pPr>
        <w:pStyle w:val="Compact"/>
        <w:numPr>
          <w:ilvl w:val="0"/>
          <w:numId w:val="1001"/>
        </w:numPr>
      </w:pPr>
      <w:r>
        <w:t xml:space="preserve">forstpolitische Entscheidungen,</w:t>
      </w:r>
    </w:p>
    <w:p>
      <w:pPr>
        <w:pStyle w:val="Compact"/>
        <w:numPr>
          <w:ilvl w:val="0"/>
          <w:numId w:val="1001"/>
        </w:numPr>
      </w:pPr>
      <w:r>
        <w:t xml:space="preserve">wirtschaftliche Planungen im Bereich Holz und Forstwirtschaft,</w:t>
      </w:r>
    </w:p>
    <w:p>
      <w:pPr>
        <w:pStyle w:val="Compact"/>
        <w:numPr>
          <w:ilvl w:val="0"/>
          <w:numId w:val="1001"/>
        </w:numPr>
      </w:pPr>
      <w:r>
        <w:t xml:space="preserve">umweltpolitische Maßnahmen, insbesondere im Kontext des</w:t>
      </w:r>
      <w:r>
        <w:t xml:space="preserve"> </w:t>
      </w:r>
      <w:r>
        <w:t xml:space="preserve">Klimaschutzes,</w:t>
      </w:r>
    </w:p>
    <w:p>
      <w:pPr>
        <w:pStyle w:val="Compact"/>
        <w:numPr>
          <w:ilvl w:val="0"/>
          <w:numId w:val="1001"/>
        </w:numPr>
      </w:pPr>
      <w:r>
        <w:t xml:space="preserve">wissenschaftliche Forschung im Bereich Waldökologie und -management,</w:t>
      </w:r>
    </w:p>
    <w:p>
      <w:pPr>
        <w:pStyle w:val="FirstParagraph"/>
      </w:pPr>
      <w:r>
        <w:t xml:space="preserve">Die vierte Bundeswaldinventur (BWI 2022) begann im April 2021 und</w:t>
      </w:r>
      <w:r>
        <w:t xml:space="preserve"> </w:t>
      </w:r>
      <w:r>
        <w:t xml:space="preserve">umfasste die Erfassung von etwa 80.000 Probepunkten in ganz Deutschland</w:t>
      </w:r>
      <w:r>
        <w:t xml:space="preserve"> </w:t>
      </w:r>
      <w:r>
        <w:t xml:space="preserve">durch rund 100 Inventurtrupps bis Ende 2022. Die Erhebung wurden in den</w:t>
      </w:r>
      <w:r>
        <w:t xml:space="preserve"> </w:t>
      </w:r>
      <w:r>
        <w:t xml:space="preserve">Jahren 2023 und 2024 ausgewertet, und die Veröffentlichung der</w:t>
      </w:r>
      <w:r>
        <w:t xml:space="preserve"> </w:t>
      </w:r>
      <w:r>
        <w:t xml:space="preserve">Ergebnisse werden für das vierte Quartal 2024 erwartet. Das BMEL plant</w:t>
      </w:r>
      <w:r>
        <w:t xml:space="preserve"> </w:t>
      </w:r>
      <w:r>
        <w:t xml:space="preserve">die Bundesergebnisse am 8.10.24 vorzustellen (Termin noch unter</w:t>
      </w:r>
      <w:r>
        <w:t xml:space="preserve"> </w:t>
      </w:r>
      <w:r>
        <w:t xml:space="preserve">Vorbehalt), die Landesergebnisse folgen dann am 14.10 (ein früherer</w:t>
      </w:r>
      <w:r>
        <w:t xml:space="preserve"> </w:t>
      </w:r>
      <w:r>
        <w:t xml:space="preserve">Zeitpunkt ist organisatorisch nicht umsetzbar).</w:t>
      </w:r>
    </w:p>
    <w:p>
      <w:pPr>
        <w:pStyle w:val="BodyText"/>
      </w:pPr>
      <w:r>
        <w:t xml:space="preserve">Diese Inventur ist besonders wichtig, da sie die Auswirkungen von Dürre</w:t>
      </w:r>
      <w:r>
        <w:t xml:space="preserve"> </w:t>
      </w:r>
      <w:r>
        <w:t xml:space="preserve">und Borkenkäferbefall auf die Wälder analysieren wird. Die BWI 2022</w:t>
      </w:r>
      <w:r>
        <w:t xml:space="preserve"> </w:t>
      </w:r>
      <w:r>
        <w:t xml:space="preserve">beinhaltet die Erfassung von über 150 Merkmalen, darunter:</w:t>
      </w:r>
    </w:p>
    <w:p>
      <w:pPr>
        <w:pStyle w:val="Compact"/>
        <w:numPr>
          <w:ilvl w:val="0"/>
          <w:numId w:val="1002"/>
        </w:numPr>
      </w:pPr>
      <w:r>
        <w:t xml:space="preserve">Baumarten und deren Verteilung</w:t>
      </w:r>
    </w:p>
    <w:p>
      <w:pPr>
        <w:pStyle w:val="Compact"/>
        <w:numPr>
          <w:ilvl w:val="0"/>
          <w:numId w:val="1002"/>
        </w:numPr>
      </w:pPr>
      <w:r>
        <w:t xml:space="preserve">Baumhöhe und -durchmesser</w:t>
      </w:r>
    </w:p>
    <w:p>
      <w:pPr>
        <w:pStyle w:val="Compact"/>
        <w:numPr>
          <w:ilvl w:val="0"/>
          <w:numId w:val="1002"/>
        </w:numPr>
      </w:pPr>
      <w:r>
        <w:t xml:space="preserve">Totholzanteile</w:t>
      </w:r>
    </w:p>
    <w:p>
      <w:pPr>
        <w:pStyle w:val="Compact"/>
        <w:numPr>
          <w:ilvl w:val="0"/>
          <w:numId w:val="1002"/>
        </w:numPr>
      </w:pPr>
      <w:r>
        <w:t xml:space="preserve">Landnutzung vor und nach der Aufforstung</w:t>
      </w:r>
    </w:p>
    <w:p>
      <w:pPr>
        <w:pStyle w:val="FirstParagraph"/>
      </w:pPr>
      <w:r>
        <w:t xml:space="preserve">Zudem werden erstmals DNA-Proben zur Ermittlung der genetischen Vielfalt</w:t>
      </w:r>
      <w:r>
        <w:t xml:space="preserve"> </w:t>
      </w:r>
      <w:r>
        <w:t xml:space="preserve">der Baumarten gesammelt, was eine neue Dimension der Datenanalyse</w:t>
      </w:r>
      <w:r>
        <w:t xml:space="preserve"> </w:t>
      </w:r>
      <w:r>
        <w:t xml:space="preserve">eröffnet.</w:t>
      </w:r>
    </w:p>
    <w:p>
      <w:pPr>
        <w:pStyle w:val="BodyText"/>
      </w:pPr>
      <w:r>
        <w:t xml:space="preserve">Die Ergebnisse der BWI haben weitreichende Auswirkungen auf verschiedene</w:t>
      </w:r>
      <w:r>
        <w:t xml:space="preserve"> </w:t>
      </w:r>
      <w:r>
        <w:t xml:space="preserve">Bereiche:</w:t>
      </w:r>
    </w:p>
    <w:p>
      <w:pPr>
        <w:pStyle w:val="Compact"/>
        <w:numPr>
          <w:ilvl w:val="0"/>
          <w:numId w:val="1003"/>
        </w:numPr>
      </w:pPr>
      <w:r>
        <w:t xml:space="preserve">Waldpolitik und -management: Die Daten liefern wichtige</w:t>
      </w:r>
      <w:r>
        <w:t xml:space="preserve"> </w:t>
      </w:r>
      <w:r>
        <w:t xml:space="preserve">Informationen zur Entwicklung der Waldflächen und der</w:t>
      </w:r>
      <w:r>
        <w:t xml:space="preserve"> </w:t>
      </w:r>
      <w:r>
        <w:t xml:space="preserve">Baumartenverteilung, die für die Planung von Aufforstungs- und</w:t>
      </w:r>
      <w:r>
        <w:t xml:space="preserve"> </w:t>
      </w:r>
      <w:r>
        <w:t xml:space="preserve">Pflegeprogrammen entscheidend sind.</w:t>
      </w:r>
    </w:p>
    <w:p>
      <w:pPr>
        <w:pStyle w:val="Compact"/>
        <w:numPr>
          <w:ilvl w:val="0"/>
          <w:numId w:val="1003"/>
        </w:numPr>
      </w:pPr>
      <w:r>
        <w:t xml:space="preserve">Klimaschutz: Die BWI-Daten sind eine Grundlage für die Bewertung der</w:t>
      </w:r>
      <w:r>
        <w:t xml:space="preserve"> </w:t>
      </w:r>
      <w:r>
        <w:t xml:space="preserve">Klimaschutzleistungen der Wälder. Sie helfen zu verstehen, wie</w:t>
      </w:r>
      <w:r>
        <w:t xml:space="preserve"> </w:t>
      </w:r>
      <w:r>
        <w:t xml:space="preserve">Wälder als Kohlenstoffsenken fungieren und welche Maßnahmen zur</w:t>
      </w:r>
      <w:r>
        <w:t xml:space="preserve"> </w:t>
      </w:r>
      <w:r>
        <w:t xml:space="preserve">Erhöhung ihrer Effizienz erforderlich sind.</w:t>
      </w:r>
    </w:p>
    <w:p>
      <w:pPr>
        <w:pStyle w:val="Compact"/>
        <w:numPr>
          <w:ilvl w:val="0"/>
          <w:numId w:val="1003"/>
        </w:numPr>
      </w:pPr>
      <w:r>
        <w:t xml:space="preserve">Wirtschaftliche Entscheidungen: Die Erhebung unterstützt die</w:t>
      </w:r>
      <w:r>
        <w:t xml:space="preserve"> </w:t>
      </w:r>
      <w:r>
        <w:t xml:space="preserve">Holzindustrie bei der Einschätzung des verfügbaren Holzvorrats und</w:t>
      </w:r>
      <w:r>
        <w:t xml:space="preserve"> </w:t>
      </w:r>
      <w:r>
        <w:t xml:space="preserve">der nachhaltigen Nutzung der Ressourcen.</w:t>
      </w:r>
    </w:p>
    <w:p>
      <w:pPr>
        <w:pStyle w:val="Compact"/>
        <w:numPr>
          <w:ilvl w:val="0"/>
          <w:numId w:val="1003"/>
        </w:numPr>
      </w:pPr>
      <w:r>
        <w:t xml:space="preserve">Forschung: Die BWI dient als Datenbasis für wissenschaftliche</w:t>
      </w:r>
      <w:r>
        <w:t xml:space="preserve"> </w:t>
      </w:r>
      <w:r>
        <w:t xml:space="preserve">Studien zur Waldökologie und zur Anpassung der Wälder an den</w:t>
      </w:r>
      <w:r>
        <w:t xml:space="preserve"> </w:t>
      </w:r>
      <w:r>
        <w:t xml:space="preserve">Klimawandel.</w:t>
      </w:r>
    </w:p>
    <w:tbl>
      <w:tblPr>
        <w:tblStyle w:val="Table"/>
        <w:tblLook w:firstRow="0" w:lastRow="0" w:firstColumn="0" w:lastColumn="0" w:noHBand="0" w:noVBand="0" w:val="0000"/>
        <w:tblBorders>
          <w:left w:val="single" w:sz="24" w:space="0" w:color="0758E5"/>
          <w:right w:val="single" w:sz="4" w:space="0" w:color="0758E5"/>
          <w:top w:val="single" w:sz="4" w:space="0" w:color="0758E5"/>
          <w:bottom w:val="single" w:sz="4" w:space="0" w:color="0758E5"/>
        </w:tblBorders>
        <w:tblCellMar>
          <w:left w:w="144" w:type="dxa"/>
          <w:right w:w="144" w:type="dxa"/>
        </w:tblCellMar>
        <w:tblInd w:w="164" w:type="dxa"/>
        <w:tblW w:type="pct" w:w="100%"/>
      </w:tblPr>
      <w:tr>
        <w:trPr>
          <w:cantSplit/>
        </w:trPr>
        <w:tc>
          <w:tcPr>
            <w:shd w:color="auto" w:fill="dae6fb" w:val="clear"/>
            <w:tcMar>
              <w:top w:w="92" w:type="dxa"/>
              <w:bottom w:w="92" w:type="dxa"/>
            </w:tcMar>
          </w:tcPr>
          <w:p>
            <w:pPr>
              <w:pStyle w:val="FirstParagraph"/>
            </w:pPr>
            <w:pPr>
              <w:spacing w:before="0" w:after="0"/>
              <w:textAlignment w:val="center"/>
            </w:pPr>
            <w:r>
              <w:drawing>
                <wp:inline>
                  <wp:extent cx="152400" cy="152400"/>
                  <wp:effectExtent b="0" l="0" r="0" t="0"/>
                  <wp:docPr descr="" title="" id="21" name="Picture"/>
                  <a:graphic>
                    <a:graphicData uri="http://schemas.openxmlformats.org/drawingml/2006/picture">
                      <pic:pic>
                        <pic:nvPicPr>
                          <pic:cNvPr descr="/opt/quarto/share/formats/docx/note.png" id="22" name="Picture"/>
                          <pic:cNvPicPr>
                            <a:picLocks noChangeArrowheads="1" noChangeAspect="1"/>
                          </pic:cNvPicPr>
                        </pic:nvPicPr>
                        <pic:blipFill>
                          <a:blip r:embed="rId20"/>
                          <a:stretch>
                            <a:fillRect/>
                          </a:stretch>
                        </pic:blipFill>
                        <pic:spPr bwMode="auto">
                          <a:xfrm>
                            <a:off x="0" y="0"/>
                            <a:ext cx="152400" cy="152400"/>
                          </a:xfrm>
                          <a:prstGeom prst="rect">
                            <a:avLst/>
                          </a:prstGeom>
                          <a:noFill/>
                          <a:ln w="9525">
                            <a:noFill/>
                            <a:headEnd/>
                            <a:tailEnd/>
                          </a:ln>
                        </pic:spPr>
                      </pic:pic>
                    </a:graphicData>
                  </a:graphic>
                </wp:inline>
              </w:drawing>
            </w:r>
            <w:r>
              <w:t xml:space="preserve"> </w:t>
            </w:r>
            <w:r>
              <w:t xml:space="preserve"> </w:t>
            </w:r>
            <w:r>
              <w:t xml:space="preserve">Note 1: Wald im Sinne der BWI</w:t>
            </w:r>
          </w:p>
        </w:tc>
      </w:tr>
      <w:tr>
        <w:trPr>
          <w:cantSplit/>
        </w:trPr>
        <w:tc>
          <w:tcPr>
            <w:tcMar>
              <w:top w:w="108" w:type="dxa"/>
              <w:bottom w:w="108" w:type="dxa"/>
            </w:tcMar>
          </w:tcPr>
          <w:p>
            <w:pPr>
              <w:pStyle w:val="BodyText"/>
            </w:pPr>
            <w:pPr>
              <w:spacing w:before="16" w:after="16"/>
            </w:pPr>
            <w:r>
              <w:t xml:space="preserve">Wald im Sinne der BWI ist, unabhängig von den Angaben im Kataster oder</w:t>
            </w:r>
            <w:r>
              <w:t xml:space="preserve"> </w:t>
            </w:r>
            <w:r>
              <w:t xml:space="preserve">ähnlichen Verzeichnissen, jede mit Forstpflanzen bestockte Grundfläche.</w:t>
            </w:r>
            <w:r>
              <w:t xml:space="preserve"> </w:t>
            </w:r>
            <w:r>
              <w:t xml:space="preserve">Als Wald gelten auch kahlgeschlagene oder verlichtete Grundflächen,</w:t>
            </w:r>
            <w:r>
              <w:t xml:space="preserve"> </w:t>
            </w:r>
            <w:r>
              <w:t xml:space="preserve">Waldwege, Waldeinteilungs- und Sicherungsstreifen, Waldblößen und</w:t>
            </w:r>
            <w:r>
              <w:t xml:space="preserve"> </w:t>
            </w:r>
            <w:r>
              <w:t xml:space="preserve">Lichtungen, Waldwiesen, Wildäsungsplätze, Holzlagerplätze, im Wald</w:t>
            </w:r>
            <w:r>
              <w:t xml:space="preserve"> </w:t>
            </w:r>
            <w:r>
              <w:t xml:space="preserve">gelegene Leitungsschneisen, weitere mit dem Wald verbundene und ihm</w:t>
            </w:r>
            <w:r>
              <w:t xml:space="preserve"> </w:t>
            </w:r>
            <w:r>
              <w:t xml:space="preserve">dienende Flächen einschließlich Flächen mit Erholungseinrichtungen,</w:t>
            </w:r>
            <w:r>
              <w:t xml:space="preserve"> </w:t>
            </w:r>
            <w:r>
              <w:t xml:space="preserve">zugewachsene Heiden und Moore, zugewachsene ehemalige Weiden, Almflächen</w:t>
            </w:r>
            <w:r>
              <w:t xml:space="preserve"> </w:t>
            </w:r>
            <w:r>
              <w:t xml:space="preserve">und Hutungen sowie Latschen- und Grünerlenflächen. Heiden, Moore,</w:t>
            </w:r>
            <w:r>
              <w:t xml:space="preserve"> </w:t>
            </w:r>
            <w:r>
              <w:t xml:space="preserve">Weiden, Almflächen und Hutungen gelten als zugewachsen, wenn die</w:t>
            </w:r>
            <w:r>
              <w:t xml:space="preserve"> </w:t>
            </w:r>
            <w:r>
              <w:t xml:space="preserve">natürlich aufgekommene Bestockung ein durchschnittliches Alter von fünf</w:t>
            </w:r>
            <w:r>
              <w:t xml:space="preserve"> </w:t>
            </w:r>
            <w:r>
              <w:t xml:space="preserve">Jahren erreicht hat und wenn mindestens 50 % der Fläche bestockt sind.</w:t>
            </w:r>
            <w:r>
              <w:t xml:space="preserve"> </w:t>
            </w:r>
            <w:r>
              <w:t xml:space="preserve">In der Flur oder im bebauten Gebiet gelegene bestockte Flächen unter</w:t>
            </w:r>
            <w:r>
              <w:t xml:space="preserve"> </w:t>
            </w:r>
            <w:r>
              <w:t xml:space="preserve">1000 m² , Gehölzstreifen unter 10 m Breite und Weihnachtsbaum- und</w:t>
            </w:r>
            <w:r>
              <w:t xml:space="preserve"> </w:t>
            </w:r>
            <w:r>
              <w:t xml:space="preserve">Schmuckreisigkulturen, gewerbliche Forstbaumschulen sowie zum</w:t>
            </w:r>
            <w:r>
              <w:t xml:space="preserve"> </w:t>
            </w:r>
            <w:r>
              <w:t xml:space="preserve">Wohnbereich gehörende Park- anlagen sind nicht Wald im Sinne der BWI.</w:t>
            </w:r>
            <w:r>
              <w:t xml:space="preserve"> </w:t>
            </w:r>
            <w:r>
              <w:t xml:space="preserve">Wasserläufe bis 5 m Breite unterbrechen nicht den Zusammenhang einer</w:t>
            </w:r>
            <w:r>
              <w:t xml:space="preserve"> </w:t>
            </w:r>
            <w:r>
              <w:t xml:space="preserve">Waldfläche (vgl.</w:t>
            </w:r>
            <w:r>
              <w:t xml:space="preserve"> </w:t>
            </w:r>
            <w:r>
              <w:t xml:space="preserve">Riedel, Hennig, Polley, Schwitzgebel (2021)</w:t>
            </w:r>
            <w:r>
              <w:t xml:space="preserve">.</w:t>
            </w:r>
          </w:p>
        </w:tc>
      </w:tr>
    </w:tbl>
    <w:p>
      <w:pPr>
        <w:pStyle w:val="BodyText"/>
      </w:pPr>
      <w:r>
        <w:t xml:space="preserve">In Brandenburg wurden die Aufnahmen von</w:t>
      </w:r>
    </w:p>
    <w:p>
      <w:pPr>
        <w:pStyle w:val="Compact"/>
        <w:numPr>
          <w:ilvl w:val="0"/>
          <w:numId w:val="1004"/>
        </w:numPr>
      </w:pPr>
      <w:r>
        <w:t xml:space="preserve">April 2021 bis Dezember von 9 Unternehmern in</w:t>
      </w:r>
    </w:p>
    <w:p>
      <w:pPr>
        <w:pStyle w:val="Compact"/>
        <w:numPr>
          <w:ilvl w:val="0"/>
          <w:numId w:val="1004"/>
        </w:numPr>
      </w:pPr>
      <w:r>
        <w:t xml:space="preserve">11 Losen im 2 km x 2 km Netz durchgeführt.</w:t>
      </w:r>
    </w:p>
    <w:p>
      <w:pPr>
        <w:pStyle w:val="FirstParagraph"/>
      </w:pPr>
      <w:r>
        <w:t xml:space="preserve">Dabei wurden</w:t>
      </w:r>
    </w:p>
    <w:p>
      <w:pPr>
        <w:pStyle w:val="Compact"/>
        <w:numPr>
          <w:ilvl w:val="0"/>
          <w:numId w:val="1005"/>
        </w:numPr>
      </w:pPr>
      <w:r>
        <w:t xml:space="preserve">ca.</w:t>
      </w:r>
      <w:r>
        <w:t xml:space="preserve"> </w:t>
      </w:r>
      <w:r>
        <w:t xml:space="preserve">11.450</w:t>
      </w:r>
      <w:r>
        <w:t xml:space="preserve"> </w:t>
      </w:r>
      <w:r>
        <w:t xml:space="preserve">Aufnahmepunkte (Traktecken) [Ausgeschrieben und] begutachtet</w:t>
      </w:r>
      <w:r>
        <w:t xml:space="preserve"> </w:t>
      </w:r>
      <w:r>
        <w:t xml:space="preserve">[todo: Ausschreibungszahlen und Rückläufer abgleichen] von denen</w:t>
      </w:r>
    </w:p>
    <w:p>
      <w:pPr>
        <w:pStyle w:val="Compact"/>
        <w:numPr>
          <w:ilvl w:val="0"/>
          <w:numId w:val="1005"/>
        </w:numPr>
      </w:pPr>
      <w:r>
        <w:t xml:space="preserve">11.312</w:t>
      </w:r>
      <w:r>
        <w:t xml:space="preserve"> </w:t>
      </w:r>
      <w:r>
        <w:t xml:space="preserve">tatsächlich im Wald nach LWaldG und</w:t>
      </w:r>
      <w:r>
        <w:t xml:space="preserve"> </w:t>
      </w:r>
      <w:hyperlink w:anchor="imp-bwi_walddef">
        <w:r>
          <w:rPr>
            <w:rStyle w:val="Hyperlink"/>
          </w:rPr>
          <w:t xml:space="preserve">Walddefinition der</w:t>
        </w:r>
        <w:r>
          <w:rPr>
            <w:rStyle w:val="Hyperlink"/>
          </w:rPr>
          <w:t xml:space="preserve"> </w:t>
        </w:r>
        <w:r>
          <w:rPr>
            <w:rStyle w:val="Hyperlink"/>
          </w:rPr>
          <w:t xml:space="preserve">BWI</w:t>
        </w:r>
      </w:hyperlink>
      <w:r>
        <w:t xml:space="preserve"> </w:t>
      </w:r>
      <w:r>
        <w:t xml:space="preserve">lagen und an</w:t>
      </w:r>
    </w:p>
    <w:p>
      <w:pPr>
        <w:pStyle w:val="Compact"/>
        <w:numPr>
          <w:ilvl w:val="0"/>
          <w:numId w:val="1005"/>
        </w:numPr>
      </w:pPr>
      <w:r>
        <w:t xml:space="preserve">11.078</w:t>
      </w:r>
      <w:r>
        <w:t xml:space="preserve"> </w:t>
      </w:r>
      <w:r>
        <w:t xml:space="preserve">Ecken Daten aufgenommen wurden.</w:t>
      </w:r>
    </w:p>
    <w:p>
      <w:pPr>
        <w:pStyle w:val="FirstParagraph"/>
      </w:pPr>
      <w:r>
        <w:t xml:space="preserve">An</w:t>
      </w:r>
      <w:r>
        <w:t xml:space="preserve"> </w:t>
      </w:r>
      <w:r>
        <w:t xml:space="preserve">234</w:t>
      </w:r>
      <w:r>
        <w:t xml:space="preserve"> </w:t>
      </w:r>
      <w:r>
        <w:t xml:space="preserve">Ecken konnten keine Daten erhoben werden, weil sie nicht begehbar waren.</w:t>
      </w:r>
      <w:r>
        <w:t xml:space="preserve"> </w:t>
      </w:r>
      <w:r>
        <w:t xml:space="preserve">Die erfassten Gründe zur Nichtbegehbarkeit sind in</w:t>
      </w:r>
      <w:r>
        <w:t xml:space="preserve"> </w:t>
      </w:r>
      <w:hyperlink w:anchor="tbl-nichtbegehbar">
        <w:r>
          <w:rPr>
            <w:rStyle w:val="Hyperlink"/>
          </w:rPr>
          <w:t xml:space="preserve">Tabelle 1</w:t>
        </w:r>
      </w:hyperlink>
      <w:r>
        <w:t xml:space="preserve"> </w:t>
      </w:r>
      <w:r>
        <w:t xml:space="preserve">dargestellt.</w:t>
      </w:r>
    </w:p>
    <w:tbl>
      <w:tblPr>
        <w:tblStyle w:val="Table"/>
        <w:tblW w:type="pct" w:w="5000"/>
        <w:tblLayout w:type="fixed"/>
        <w:tblLook w:firstRow="0" w:lastRow="0" w:firstColumn="0" w:lastColumn="0" w:noHBand="0" w:noVBand="0" w:val="0000"/>
      </w:tblPr>
      <w:tblGrid>
        <w:gridCol w:w="7920"/>
      </w:tblGrid>
      <w:tr>
        <w:tc>
          <w:tcPr/>
          <w:bookmarkStart w:id="23" w:name="tbl-nichtbegehbar"/>
          <w:p>
            <w:pPr>
              <w:jc w:val="center"/>
            </w:pPr>
            <w:pPr>
              <w:jc w:val="start"/>
              <w:spacing w:before="200"/>
              <w:pStyle w:val="ImageCaption"/>
            </w:pPr>
            <w:r>
              <w:t xml:space="preserve">Tabelle 1: Anzahl nicht begehbarer Ecken nach Waldspezifikation und Grund für die nicht Begehbarkeit</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w:tblLayout w:type="fixed"/>
              <w:jc w:val="center"/>
              <w:tblLook w:firstRow="1" w:lastRow="0" w:firstColumn="0" w:lastColumn="0" w:noHBand="0" w:noVBand="1"/>
            </w:tblPr>
            <w:tblGrid>
              <w:gridCol w:w="1440"/>
              <w:gridCol w:w="1080"/>
              <w:gridCol w:w="1080"/>
              <w:gridCol w:w="1080"/>
              <w:gridCol w:w="1080"/>
              <w:gridCol w:w="1080"/>
            </w:tblGrid>
            <w:tr>
              <w:trPr>
                <w:trHeight w:val="360" w:hRule="auto"/>
                <w:tblHeader/>
              </w:trPr>
              header1
              <w:tc>
                <w:tcPr>
                  <w:tcBorders>
                    <w:bottom w:val="single" w:sz="12" w:space="0" w:color="666666"/>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Begehbarkeit</w:t>
                  </w:r>
                </w:p>
              </w:tc>
              <w:tc>
                <w:tcPr>
                  <w:tcBorders>
                    <w:bottom w:val="single" w:sz="12" w:space="0" w:color="666666"/>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bestockter Holzboden</w:t>
                  </w:r>
                </w:p>
              </w:tc>
              <w:tc>
                <w:tcPr>
                  <w:tcBorders>
                    <w:bottom w:val="single" w:sz="12" w:space="0" w:color="666666"/>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Blöße</w:t>
                  </w:r>
                </w:p>
              </w:tc>
              <w:tc>
                <w:tcPr>
                  <w:tcBorders>
                    <w:bottom w:val="single" w:sz="12" w:space="0" w:color="666666"/>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Holzboden</w:t>
                  </w:r>
                </w:p>
              </w:tc>
              <w:tc>
                <w:tcPr>
                  <w:tcBorders>
                    <w:bottom w:val="single" w:sz="12" w:space="0" w:color="666666"/>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Nichtholzboden</w:t>
                  </w:r>
                </w:p>
              </w:tc>
              <w:tc>
                <w:tcPr>
                  <w:tcBorders>
                    <w:bottom w:val="single" w:sz="12" w:space="0" w:color="666666"/>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Wald</w:t>
                  </w:r>
                </w:p>
              </w:tc>
            </w:tr>
            <w:tr>
              <w:trPr>
                <w:trHeight w:val="360" w:hRule="auto"/>
              </w:trPr>
              body1
              <w:tc>
                <w:tcPr>
                  <w:tcBorders>
                    <w:bottom w:val="none" w:sz="0" w:space="0" w:color="000000"/>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16"/>
                      <w:szCs w:val="16"/>
                      <w:color w:val="000000"/>
                    </w:rPr>
                    <w:t xml:space="preserve">nicht begehbar, Betretungsverbot</w:t>
                  </w:r>
                </w:p>
              </w:tc>
              <w:tc>
                <w:tcPr>
                  <w:tcBorders>
                    <w:bottom w:val="none" w:sz="0" w:space="0" w:color="000000"/>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16"/>
                      <w:szCs w:val="16"/>
                      <w:color w:val="000000"/>
                    </w:rPr>
                    <w:t xml:space="preserve">50</w:t>
                  </w:r>
                </w:p>
              </w:tc>
              <w:tc>
                <w:tcPr>
                  <w:tcBorders>
                    <w:bottom w:val="none" w:sz="0" w:space="0" w:color="000000"/>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16"/>
                      <w:szCs w:val="16"/>
                      <w:color w:val="000000"/>
                    </w:rPr>
                    <w:t xml:space="preserve">5</w:t>
                  </w:r>
                </w:p>
              </w:tc>
              <w:tc>
                <w:tcPr>
                  <w:tcBorders>
                    <w:bottom w:val="none" w:sz="0" w:space="0" w:color="000000"/>
                    <w:top w:val="single" w:sz="12" w:space="0" w:color="666666"/>
                    <w:left w:val="none" w:sz="0" w:space="0" w:color="000000"/>
                    <w:right w:val="none" w:sz="0" w:space="0" w:color="000000"/>
                  </w:tcBorders>
                  <w:shd w:val="clear" w:color="auto" w:fill="D9EAD3"/>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true"/>
                      <w:u w:val="none"/>
                      <w:sz w:val="16"/>
                      <w:szCs w:val="16"/>
                      <w:color w:val="000000"/>
                    </w:rPr>
                    <w:t xml:space="preserve">55</w:t>
                  </w:r>
                </w:p>
              </w:tc>
              <w:tc>
                <w:tcPr>
                  <w:tcBorders>
                    <w:bottom w:val="none" w:sz="0" w:space="0" w:color="000000"/>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16"/>
                      <w:szCs w:val="16"/>
                      <w:color w:val="000000"/>
                    </w:rPr>
                    <w:t xml:space="preserve">13</w:t>
                  </w:r>
                </w:p>
              </w:tc>
              <w:tc>
                <w:tcPr>
                  <w:tcBorders>
                    <w:bottom w:val="none" w:sz="0" w:space="0" w:color="000000"/>
                    <w:top w:val="single" w:sz="12" w:space="0" w:color="666666"/>
                    <w:left w:val="none" w:sz="0" w:space="0" w:color="000000"/>
                    <w:right w:val="none" w:sz="0" w:space="0" w:color="000000"/>
                  </w:tcBorders>
                  <w:shd w:val="clear" w:color="auto" w:fill="D9EAD3"/>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true"/>
                      <w:u w:val="none"/>
                      <w:sz w:val="16"/>
                      <w:szCs w:val="16"/>
                      <w:color w:val="000000"/>
                    </w:rPr>
                    <w:t xml:space="preserve">68</w:t>
                  </w:r>
                </w:p>
              </w:tc>
            </w:tr>
            <w:tr>
              <w:trPr>
                <w:trHeight w:val="360" w:hRule="auto"/>
              </w:trPr>
              body2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16"/>
                      <w:szCs w:val="16"/>
                      <w:color w:val="000000"/>
                    </w:rPr>
                    <w:t xml:space="preserve">nicht begehbar, gefährliche Geländebedingung</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16"/>
                      <w:szCs w:val="16"/>
                      <w:color w:val="000000"/>
                    </w:rPr>
                    <w:t xml:space="preserve">70</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16"/>
                      <w:szCs w:val="16"/>
                      <w:color w:val="000000"/>
                    </w:rPr>
                    <w:t xml:space="preserve">8</w:t>
                  </w:r>
                </w:p>
              </w:tc>
              <w:tc>
                <w:tcPr>
                  <w:tcBorders>
                    <w:bottom w:val="none" w:sz="0" w:space="0" w:color="000000"/>
                    <w:top w:val="none" w:sz="0" w:space="0" w:color="000000"/>
                    <w:left w:val="none" w:sz="0" w:space="0" w:color="000000"/>
                    <w:right w:val="none" w:sz="0" w:space="0" w:color="000000"/>
                  </w:tcBorders>
                  <w:shd w:val="clear" w:color="auto" w:fill="D9EAD3"/>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true"/>
                      <w:u w:val="none"/>
                      <w:sz w:val="16"/>
                      <w:szCs w:val="16"/>
                      <w:color w:val="000000"/>
                    </w:rPr>
                    <w:t xml:space="preserve">78</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16"/>
                      <w:szCs w:val="16"/>
                      <w:color w:val="000000"/>
                    </w:rPr>
                    <w:t xml:space="preserve">15</w:t>
                  </w:r>
                </w:p>
              </w:tc>
              <w:tc>
                <w:tcPr>
                  <w:tcBorders>
                    <w:bottom w:val="none" w:sz="0" w:space="0" w:color="000000"/>
                    <w:top w:val="none" w:sz="0" w:space="0" w:color="000000"/>
                    <w:left w:val="none" w:sz="0" w:space="0" w:color="000000"/>
                    <w:right w:val="none" w:sz="0" w:space="0" w:color="000000"/>
                  </w:tcBorders>
                  <w:shd w:val="clear" w:color="auto" w:fill="D9EAD3"/>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true"/>
                      <w:u w:val="none"/>
                      <w:sz w:val="16"/>
                      <w:szCs w:val="16"/>
                      <w:color w:val="000000"/>
                    </w:rPr>
                    <w:t xml:space="preserve">93</w:t>
                  </w:r>
                </w:p>
              </w:tc>
            </w:tr>
            <w:tr>
              <w:trPr>
                <w:trHeight w:val="360" w:hRule="auto"/>
              </w:trPr>
              body3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16"/>
                      <w:szCs w:val="16"/>
                      <w:color w:val="000000"/>
                    </w:rPr>
                    <w:t xml:space="preserve">nicht begehbar, undurchdringlicher Bewuchs</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16"/>
                      <w:szCs w:val="16"/>
                      <w:color w:val="000000"/>
                    </w:rPr>
                    <w:t xml:space="preserve">4</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16"/>
                      <w:szCs w:val="16"/>
                      <w:color w:val="000000"/>
                    </w:rPr>
                    <w:t xml:space="preserve"/>
                  </w:r>
                </w:p>
              </w:tc>
              <w:tc>
                <w:tcPr>
                  <w:tcBorders>
                    <w:bottom w:val="none" w:sz="0" w:space="0" w:color="000000"/>
                    <w:top w:val="none" w:sz="0" w:space="0" w:color="000000"/>
                    <w:left w:val="none" w:sz="0" w:space="0" w:color="000000"/>
                    <w:right w:val="none" w:sz="0" w:space="0" w:color="000000"/>
                  </w:tcBorders>
                  <w:shd w:val="clear" w:color="auto" w:fill="D9EAD3"/>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true"/>
                      <w:u w:val="none"/>
                      <w:sz w:val="16"/>
                      <w:szCs w:val="16"/>
                      <w:color w:val="000000"/>
                    </w:rPr>
                    <w:t xml:space="preserve">4</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16"/>
                      <w:szCs w:val="16"/>
                      <w:color w:val="000000"/>
                    </w:rPr>
                    <w:t xml:space="preserve">2</w:t>
                  </w:r>
                </w:p>
              </w:tc>
              <w:tc>
                <w:tcPr>
                  <w:tcBorders>
                    <w:bottom w:val="none" w:sz="0" w:space="0" w:color="000000"/>
                    <w:top w:val="none" w:sz="0" w:space="0" w:color="000000"/>
                    <w:left w:val="none" w:sz="0" w:space="0" w:color="000000"/>
                    <w:right w:val="none" w:sz="0" w:space="0" w:color="000000"/>
                  </w:tcBorders>
                  <w:shd w:val="clear" w:color="auto" w:fill="D9EAD3"/>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true"/>
                      <w:u w:val="none"/>
                      <w:sz w:val="16"/>
                      <w:szCs w:val="16"/>
                      <w:color w:val="000000"/>
                    </w:rPr>
                    <w:t xml:space="preserve">6</w:t>
                  </w:r>
                </w:p>
              </w:tc>
            </w:tr>
            <w:tr>
              <w:trPr>
                <w:trHeight w:val="360" w:hRule="auto"/>
              </w:trPr>
              body4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16"/>
                      <w:szCs w:val="16"/>
                      <w:color w:val="000000"/>
                    </w:rPr>
                    <w:t xml:space="preserve">nicht begehbar, Gefahren wegen Sturmschäden</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16"/>
                      <w:szCs w:val="16"/>
                      <w:color w:val="000000"/>
                    </w:rPr>
                    <w:t xml:space="preserve">2</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16"/>
                      <w:szCs w:val="16"/>
                      <w:color w:val="000000"/>
                    </w:rPr>
                    <w:t xml:space="preserve"/>
                  </w:r>
                </w:p>
              </w:tc>
              <w:tc>
                <w:tcPr>
                  <w:tcBorders>
                    <w:bottom w:val="none" w:sz="0" w:space="0" w:color="000000"/>
                    <w:top w:val="none" w:sz="0" w:space="0" w:color="000000"/>
                    <w:left w:val="none" w:sz="0" w:space="0" w:color="000000"/>
                    <w:right w:val="none" w:sz="0" w:space="0" w:color="000000"/>
                  </w:tcBorders>
                  <w:shd w:val="clear" w:color="auto" w:fill="D9EAD3"/>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true"/>
                      <w:u w:val="none"/>
                      <w:sz w:val="16"/>
                      <w:szCs w:val="16"/>
                      <w:color w:val="000000"/>
                    </w:rPr>
                    <w:t xml:space="preserve">2</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16"/>
                      <w:szCs w:val="16"/>
                      <w:color w:val="000000"/>
                    </w:rPr>
                    <w:t xml:space="preserve"/>
                  </w:r>
                </w:p>
              </w:tc>
              <w:tc>
                <w:tcPr>
                  <w:tcBorders>
                    <w:bottom w:val="none" w:sz="0" w:space="0" w:color="000000"/>
                    <w:top w:val="none" w:sz="0" w:space="0" w:color="000000"/>
                    <w:left w:val="none" w:sz="0" w:space="0" w:color="000000"/>
                    <w:right w:val="none" w:sz="0" w:space="0" w:color="000000"/>
                  </w:tcBorders>
                  <w:shd w:val="clear" w:color="auto" w:fill="D9EAD3"/>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true"/>
                      <w:u w:val="none"/>
                      <w:sz w:val="16"/>
                      <w:szCs w:val="16"/>
                      <w:color w:val="000000"/>
                    </w:rPr>
                    <w:t xml:space="preserve">2</w:t>
                  </w:r>
                </w:p>
              </w:tc>
            </w:tr>
            <w:tr>
              <w:trPr>
                <w:trHeight w:val="360" w:hRule="auto"/>
              </w:trPr>
              body5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16"/>
                      <w:szCs w:val="16"/>
                      <w:color w:val="000000"/>
                    </w:rPr>
                    <w:t xml:space="preserve">nicht begehbar, sonstige Gefahren (ohne Kalamitäten)</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16"/>
                      <w:szCs w:val="16"/>
                      <w:color w:val="000000"/>
                    </w:rPr>
                    <w:t xml:space="preserve">35</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16"/>
                      <w:szCs w:val="16"/>
                      <w:color w:val="000000"/>
                    </w:rPr>
                    <w:t xml:space="preserve"/>
                  </w:r>
                </w:p>
              </w:tc>
              <w:tc>
                <w:tcPr>
                  <w:tcBorders>
                    <w:bottom w:val="none" w:sz="0" w:space="0" w:color="000000"/>
                    <w:top w:val="none" w:sz="0" w:space="0" w:color="000000"/>
                    <w:left w:val="none" w:sz="0" w:space="0" w:color="000000"/>
                    <w:right w:val="none" w:sz="0" w:space="0" w:color="000000"/>
                  </w:tcBorders>
                  <w:shd w:val="clear" w:color="auto" w:fill="D9EAD3"/>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true"/>
                      <w:u w:val="none"/>
                      <w:sz w:val="16"/>
                      <w:szCs w:val="16"/>
                      <w:color w:val="000000"/>
                    </w:rPr>
                    <w:t xml:space="preserve">35</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16"/>
                      <w:szCs w:val="16"/>
                      <w:color w:val="000000"/>
                    </w:rPr>
                    <w:t xml:space="preserve">28</w:t>
                  </w:r>
                </w:p>
              </w:tc>
              <w:tc>
                <w:tcPr>
                  <w:tcBorders>
                    <w:bottom w:val="none" w:sz="0" w:space="0" w:color="000000"/>
                    <w:top w:val="none" w:sz="0" w:space="0" w:color="000000"/>
                    <w:left w:val="none" w:sz="0" w:space="0" w:color="000000"/>
                    <w:right w:val="none" w:sz="0" w:space="0" w:color="000000"/>
                  </w:tcBorders>
                  <w:shd w:val="clear" w:color="auto" w:fill="D9EAD3"/>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true"/>
                      <w:u w:val="none"/>
                      <w:sz w:val="16"/>
                      <w:szCs w:val="16"/>
                      <w:color w:val="000000"/>
                    </w:rPr>
                    <w:t xml:space="preserve">63</w:t>
                  </w:r>
                </w:p>
              </w:tc>
            </w:tr>
            <w:tr>
              <w:trPr>
                <w:trHeight w:val="360" w:hRule="auto"/>
              </w:trPr>
              body6
              <w:tc>
                <w:tcPr>
                  <w:tcBorders>
                    <w:bottom w:val="single" w:sz="12" w:space="0" w:color="666666"/>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16"/>
                      <w:szCs w:val="16"/>
                      <w:color w:val="000000"/>
                    </w:rPr>
                    <w:t xml:space="preserve">nicht begehbar, Kernzone afrikanische Schweinepest</w:t>
                  </w:r>
                </w:p>
              </w:tc>
              <w:tc>
                <w:tcPr>
                  <w:tcBorders>
                    <w:bottom w:val="single" w:sz="12" w:space="0" w:color="666666"/>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16"/>
                      <w:szCs w:val="16"/>
                      <w:color w:val="000000"/>
                    </w:rPr>
                    <w:t xml:space="preserve"/>
                  </w:r>
                </w:p>
              </w:tc>
              <w:tc>
                <w:tcPr>
                  <w:tcBorders>
                    <w:bottom w:val="single" w:sz="12" w:space="0" w:color="666666"/>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16"/>
                      <w:szCs w:val="16"/>
                      <w:color w:val="000000"/>
                    </w:rPr>
                    <w:t xml:space="preserve"/>
                  </w:r>
                </w:p>
              </w:tc>
              <w:tc>
                <w:tcPr>
                  <w:tcBorders>
                    <w:bottom w:val="single" w:sz="12" w:space="0" w:color="666666"/>
                    <w:top w:val="none" w:sz="0" w:space="0" w:color="000000"/>
                    <w:left w:val="none" w:sz="0" w:space="0" w:color="000000"/>
                    <w:right w:val="none" w:sz="0" w:space="0" w:color="000000"/>
                  </w:tcBorders>
                  <w:shd w:val="clear" w:color="auto" w:fill="D9EAD3"/>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true"/>
                      <w:u w:val="none"/>
                      <w:sz w:val="16"/>
                      <w:szCs w:val="16"/>
                      <w:color w:val="000000"/>
                    </w:rPr>
                    <w:t xml:space="preserve"/>
                  </w:r>
                </w:p>
              </w:tc>
              <w:tc>
                <w:tcPr>
                  <w:tcBorders>
                    <w:bottom w:val="single" w:sz="12" w:space="0" w:color="666666"/>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16"/>
                      <w:szCs w:val="16"/>
                      <w:color w:val="000000"/>
                    </w:rPr>
                    <w:t xml:space="preserve">2</w:t>
                  </w:r>
                </w:p>
              </w:tc>
              <w:tc>
                <w:tcPr>
                  <w:tcBorders>
                    <w:bottom w:val="single" w:sz="12" w:space="0" w:color="666666"/>
                    <w:top w:val="none" w:sz="0" w:space="0" w:color="000000"/>
                    <w:left w:val="none" w:sz="0" w:space="0" w:color="000000"/>
                    <w:right w:val="none" w:sz="0" w:space="0" w:color="000000"/>
                  </w:tcBorders>
                  <w:shd w:val="clear" w:color="auto" w:fill="D9EAD3"/>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true"/>
                      <w:u w:val="none"/>
                      <w:sz w:val="16"/>
                      <w:szCs w:val="16"/>
                      <w:color w:val="000000"/>
                    </w:rPr>
                    <w:t xml:space="preserve">2</w:t>
                  </w:r>
                </w:p>
              </w:tc>
            </w:tr>
          </w:tbl>
          <w:bookmarkEnd w:id="23"/>
        </w:tc>
      </w:tr>
    </w:tbl>
    <w:p>
      <w:pPr>
        <w:pStyle w:val="BodyText"/>
      </w:pPr>
      <w:r>
        <w:t xml:space="preserve">Zusätzlich wurden an</w:t>
      </w:r>
      <w:r>
        <w:t xml:space="preserve"> </w:t>
      </w:r>
      <w:r>
        <w:rPr>
          <w:b/>
          <w:bCs/>
        </w:rPr>
        <w:t xml:space="preserve">todo:</w:t>
      </w:r>
      <w:r>
        <w:t xml:space="preserve"> </w:t>
      </w:r>
      <w:r>
        <w:t xml:space="preserve">XXX Ecken Proben für genetische</w:t>
      </w:r>
      <w:r>
        <w:t xml:space="preserve"> </w:t>
      </w:r>
      <w:r>
        <w:t xml:space="preserve">Untersuchungen genommen. Die Untersuchungen dazu laufen derzeit, eine</w:t>
      </w:r>
      <w:r>
        <w:t xml:space="preserve"> </w:t>
      </w:r>
      <w:r>
        <w:t xml:space="preserve">Zeitplanung für die Veröffentlichung der Ergebnisse liegt noch nicht</w:t>
      </w:r>
      <w:r>
        <w:t xml:space="preserve"> </w:t>
      </w:r>
      <w:r>
        <w:t xml:space="preserve">vor. Es werden Aussagen zu Verwandschaftsverhältnissen und Ableitungen</w:t>
      </w:r>
      <w:r>
        <w:t xml:space="preserve"> </w:t>
      </w:r>
      <w:r>
        <w:t xml:space="preserve">zu Herkunftsgebieten erwartet.</w:t>
      </w:r>
    </w:p>
    <w:p>
      <w:pPr>
        <w:pStyle w:val="BodyText"/>
      </w:pPr>
      <w:r>
        <w:t xml:space="preserve">In Brandenburg ist es nach 2002 und 2012 die dritte Bundeswaldinventur</w:t>
      </w:r>
      <w:r>
        <w:t xml:space="preserve"> </w:t>
      </w:r>
      <w:r>
        <w:t xml:space="preserve">und die zweite landesweite Waldinventur. Durch die wiederholte Aufnahme</w:t>
      </w:r>
      <w:r>
        <w:t xml:space="preserve"> </w:t>
      </w:r>
      <w:r>
        <w:t xml:space="preserve">im 2 km x 2 km Netz sind Veränderungen aus den letzten 10 Jahren mit</w:t>
      </w:r>
      <w:r>
        <w:t xml:space="preserve"> </w:t>
      </w:r>
      <w:r>
        <w:t xml:space="preserve">guter statistischer Sicherheit abbildbar.</w:t>
      </w:r>
    </w:p>
    <w:p>
      <w:pPr>
        <w:pStyle w:val="BodyText"/>
      </w:pPr>
      <w:r>
        <w:t xml:space="preserve">Für die Aufnahmen zur BWI in Brandenburg wurden durchschnittlich</w:t>
      </w:r>
      <w:r>
        <w:t xml:space="preserve"> </w:t>
      </w:r>
      <w:r>
        <w:t xml:space="preserve">136,24 €</w:t>
      </w:r>
      <w:r>
        <w:t xml:space="preserve"> </w:t>
      </w:r>
      <w:r>
        <w:t xml:space="preserve">pro Ecke und insgesamt</w:t>
      </w:r>
      <w:r>
        <w:t xml:space="preserve"> </w:t>
      </w:r>
      <w:r>
        <w:t xml:space="preserve">1.560.000 €</w:t>
      </w:r>
      <w:r>
        <w:t xml:space="preserve"> </w:t>
      </w:r>
      <w:r>
        <w:t xml:space="preserve">an Unternehmerleistungen vergeben.</w:t>
      </w:r>
    </w:p>
    <w:p>
      <w:pPr>
        <w:pStyle w:val="BodyText"/>
      </w:pPr>
      <w:r>
        <w:t xml:space="preserve">Eine Vollkostenrechnung ermittelte Ausgaben in Höhe von ca.</w:t>
      </w:r>
      <w:r>
        <w:t xml:space="preserve"> </w:t>
      </w:r>
      <w:r>
        <w:t xml:space="preserve">1.310.000 €</w:t>
      </w:r>
      <w:r>
        <w:t xml:space="preserve"> </w:t>
      </w:r>
      <w:r>
        <w:t xml:space="preserve">für Personal, Sach- und Reisekosten zur Koordination, Schulung und</w:t>
      </w:r>
      <w:r>
        <w:t xml:space="preserve"> </w:t>
      </w:r>
      <w:r>
        <w:t xml:space="preserve">Kontrolle der Aufnahmen.</w:t>
      </w:r>
    </w:p>
    <w:bookmarkStart w:id="28" w:name="diskussion-zu-veröffentlichungen"/>
    <w:p>
      <w:pPr>
        <w:pStyle w:val="Heading2"/>
      </w:pPr>
      <w:r>
        <w:t xml:space="preserve">Diskussion zu Veröffentlichungen</w:t>
      </w:r>
    </w:p>
    <w:p>
      <w:pPr>
        <w:pStyle w:val="FirstParagraph"/>
      </w:pPr>
      <w:r>
        <w:t xml:space="preserve">Auswertung Bund ➯ Detaillierung auf Landesebene?</w:t>
      </w:r>
    </w:p>
    <w:p>
      <w:pPr>
        <w:pStyle w:val="BodyText"/>
      </w:pPr>
      <w:r>
        <w:t xml:space="preserve">Auf der Bund-Länderkonferenzen wurden schon einige Schwerpunkte für die</w:t>
      </w:r>
      <w:r>
        <w:t xml:space="preserve"> </w:t>
      </w:r>
      <w:r>
        <w:t xml:space="preserve">Auswertung und Veröffentlichung des Bundes festgelegt. Eine</w:t>
      </w:r>
      <w:r>
        <w:t xml:space="preserve"> </w:t>
      </w:r>
      <w:r>
        <w:t xml:space="preserve">Detaillierung auf Landesebene ist zu diskutieren.</w:t>
      </w:r>
    </w:p>
    <w:bookmarkStart w:id="26" w:name="vereinbarung-bund-länder"/>
    <w:p>
      <w:pPr>
        <w:pStyle w:val="Heading3"/>
      </w:pPr>
      <w:r>
        <w:t xml:space="preserve">Vereinbarung Bund-Länder</w:t>
      </w:r>
    </w:p>
    <w:bookmarkStart w:id="24" w:name="X8fcc50c76439e3704112fcd506c644478fa14d5"/>
    <w:p>
      <w:pPr>
        <w:pStyle w:val="Heading4"/>
      </w:pPr>
      <w:r>
        <w:t xml:space="preserve">Von BIL und BMEL identifizierte Schwerpunkte</w:t>
      </w:r>
    </w:p>
    <w:p>
      <w:pPr>
        <w:pStyle w:val="Compact"/>
        <w:numPr>
          <w:ilvl w:val="0"/>
          <w:numId w:val="1006"/>
        </w:numPr>
      </w:pPr>
      <w:r>
        <w:t xml:space="preserve">Klimakrise, Ausfall von Baumarten und Veränderungen der</w:t>
      </w:r>
      <w:r>
        <w:t xml:space="preserve"> </w:t>
      </w:r>
      <w:r>
        <w:t xml:space="preserve">Naturnäheeinstufung</w:t>
      </w:r>
    </w:p>
    <w:p>
      <w:pPr>
        <w:pStyle w:val="Compact"/>
        <w:numPr>
          <w:ilvl w:val="0"/>
          <w:numId w:val="1006"/>
        </w:numPr>
      </w:pPr>
      <w:r>
        <w:t xml:space="preserve">Fichtenrückgang</w:t>
      </w:r>
    </w:p>
    <w:p>
      <w:pPr>
        <w:pStyle w:val="Compact"/>
        <w:numPr>
          <w:ilvl w:val="0"/>
          <w:numId w:val="1006"/>
        </w:numPr>
      </w:pPr>
      <w:r>
        <w:t xml:space="preserve">Verjüngung und Unterstand</w:t>
      </w:r>
    </w:p>
    <w:p>
      <w:pPr>
        <w:pStyle w:val="Compact"/>
        <w:numPr>
          <w:ilvl w:val="0"/>
          <w:numId w:val="1006"/>
        </w:numPr>
      </w:pPr>
      <w:r>
        <w:t xml:space="preserve">Perspektive des neuen Waldes</w:t>
      </w:r>
    </w:p>
    <w:bookmarkEnd w:id="24"/>
    <w:bookmarkStart w:id="25" w:name="digitales-waldmonitoring"/>
    <w:p>
      <w:pPr>
        <w:pStyle w:val="Heading4"/>
      </w:pPr>
      <w:r>
        <w:t xml:space="preserve">Digitales Waldmonitoring</w:t>
      </w:r>
    </w:p>
    <w:p>
      <w:pPr>
        <w:pStyle w:val="FirstParagraph"/>
      </w:pPr>
      <w:r>
        <w:t xml:space="preserve">In den letzten Jahren sind einige Produkte für das</w:t>
      </w:r>
      <w:r>
        <w:t xml:space="preserve"> </w:t>
      </w:r>
      <w:r>
        <w:t xml:space="preserve">fernerkundungsbasierte digitale Waldmonitoring entstanden:</w:t>
      </w:r>
    </w:p>
    <w:p>
      <w:pPr>
        <w:pStyle w:val="Compact"/>
        <w:numPr>
          <w:ilvl w:val="0"/>
          <w:numId w:val="1007"/>
        </w:numPr>
      </w:pPr>
      <w:r>
        <w:t xml:space="preserve">FNEWs - Waldschadenskarte</w:t>
      </w:r>
    </w:p>
    <w:p>
      <w:pPr>
        <w:pStyle w:val="Compact"/>
        <w:numPr>
          <w:ilvl w:val="0"/>
          <w:numId w:val="1007"/>
        </w:numPr>
      </w:pPr>
      <w:r>
        <w:t xml:space="preserve">Wald/Nichtwaldkarte nach BWI-Definition</w:t>
      </w:r>
    </w:p>
    <w:p>
      <w:pPr>
        <w:pStyle w:val="Compact"/>
        <w:numPr>
          <w:ilvl w:val="0"/>
          <w:numId w:val="1007"/>
        </w:numPr>
      </w:pPr>
      <w:r>
        <w:t xml:space="preserve">Baumartenkarte</w:t>
      </w:r>
    </w:p>
    <w:p>
      <w:pPr>
        <w:pStyle w:val="Compact"/>
        <w:numPr>
          <w:ilvl w:val="0"/>
          <w:numId w:val="1007"/>
        </w:numPr>
      </w:pPr>
      <w:r>
        <w:t xml:space="preserve">Biomassekarte</w:t>
      </w:r>
    </w:p>
    <w:bookmarkEnd w:id="25"/>
    <w:bookmarkEnd w:id="26"/>
    <w:bookmarkStart w:id="27" w:name="aktuell-in-diskussion"/>
    <w:p>
      <w:pPr>
        <w:pStyle w:val="Heading3"/>
      </w:pPr>
      <w:r>
        <w:t xml:space="preserve">Aktuell in Diskussion</w:t>
      </w:r>
    </w:p>
    <w:p>
      <w:pPr>
        <w:numPr>
          <w:ilvl w:val="0"/>
          <w:numId w:val="1008"/>
        </w:numPr>
      </w:pPr>
      <w:r>
        <w:t xml:space="preserve">Wald-Nichtwaldabgrenzung: Deckungsgrad, Mindestflächen werden wegen</w:t>
      </w:r>
      <w:r>
        <w:t xml:space="preserve"> </w:t>
      </w:r>
      <w:r>
        <w:t xml:space="preserve">Klimakrise und Waldschäden unterschritten ➯ Flächenaussagen</w:t>
      </w:r>
    </w:p>
    <w:p>
      <w:pPr>
        <w:numPr>
          <w:ilvl w:val="0"/>
          <w:numId w:val="1008"/>
        </w:numPr>
      </w:pPr>
      <w:r>
        <w:t xml:space="preserve">Definition lebender, toter und gerade abgestorbener Bäume und die</w:t>
      </w:r>
      <w:r>
        <w:t xml:space="preserve"> </w:t>
      </w:r>
      <w:r>
        <w:t xml:space="preserve">Bedeutung für Auswertung (Vorrat, Zuwachs, …) - Wunsch nach</w:t>
      </w:r>
      <w:r>
        <w:t xml:space="preserve"> </w:t>
      </w:r>
      <w:r>
        <w:t xml:space="preserve">Vitalitäserfassung (Sekundärkrone)</w:t>
      </w:r>
    </w:p>
    <w:p>
      <w:pPr>
        <w:numPr>
          <w:ilvl w:val="0"/>
          <w:numId w:val="1008"/>
        </w:numPr>
      </w:pPr>
      <w:r>
        <w:t xml:space="preserve">diverse digitale Produkte vorhanden - Umgang?</w:t>
      </w:r>
    </w:p>
    <w:p>
      <w:pPr>
        <w:numPr>
          <w:ilvl w:val="0"/>
          <w:numId w:val="1008"/>
        </w:numPr>
      </w:pPr>
      <w:r>
        <w:t xml:space="preserve">Kohlenstoffinventuren als Zwischenergebnisse - Zeitreihen</w:t>
      </w:r>
    </w:p>
    <w:bookmarkEnd w:id="27"/>
    <w:bookmarkEnd w:id="28"/>
    <w:bookmarkEnd w:id="29"/>
    <w:bookmarkStart w:id="57" w:name="daten-der-bwi-2022---stand-02.09.-2024"/>
    <w:p>
      <w:pPr>
        <w:pStyle w:val="Heading1"/>
      </w:pPr>
      <w:r>
        <w:t xml:space="preserve">Daten der BWI 2022 - Stand 02.09. 2024</w:t>
      </w:r>
    </w:p>
    <w:bookmarkStart w:id="43" w:name="waldfläche-1"/>
    <w:p>
      <w:pPr>
        <w:pStyle w:val="Heading2"/>
      </w:pPr>
      <w:r>
        <w:t xml:space="preserve">Waldfläche</w:t>
      </w:r>
    </w:p>
    <w:p>
      <w:pPr>
        <w:pStyle w:val="FirstParagraph"/>
      </w:pPr>
      <w:r>
        <w:t xml:space="preserve">Entgegen der medialen Berichterstattung und der dadurch bedingten</w:t>
      </w:r>
      <w:r>
        <w:t xml:space="preserve"> </w:t>
      </w:r>
      <w:r>
        <w:t xml:space="preserve">»gefühlten Wahrheit« ist die Waldfläche in Brandenburg von 2012 bis 2022</w:t>
      </w:r>
      <w:r>
        <w:t xml:space="preserve"> </w:t>
      </w:r>
      <w:r>
        <w:t xml:space="preserve">weitstgehend gleich geblieben. Sie ist nach BWI 2022 sogar um</w:t>
      </w:r>
      <w:r>
        <w:t xml:space="preserve"> </w:t>
      </w:r>
      <w:r>
        <w:rPr>
          <w:b/>
          <w:bCs/>
        </w:rPr>
        <w:t xml:space="preserve">99,7 ha</w:t>
      </w:r>
      <w:r>
        <w:t xml:space="preserve"> </w:t>
      </w:r>
      <w:r>
        <w:t xml:space="preserve">gewachsen.</w:t>
      </w:r>
    </w:p>
    <w:tbl>
      <w:tblPr>
        <w:tblStyle w:val="Table"/>
        <w:tblLook w:firstRow="0" w:lastRow="0" w:firstColumn="0" w:lastColumn="0" w:noHBand="0" w:noVBand="0" w:val="0000"/>
        <w:tblBorders>
          <w:left w:val="single" w:sz="24" w:space="0" w:color="EB9113"/>
          <w:right w:val="single" w:sz="4" w:space="0" w:color="EB9113"/>
          <w:top w:val="single" w:sz="4" w:space="0" w:color="EB9113"/>
          <w:bottom w:val="single" w:sz="4" w:space="0" w:color="EB9113"/>
        </w:tblBorders>
        <w:tblCellMar>
          <w:left w:w="144" w:type="dxa"/>
          <w:right w:w="144" w:type="dxa"/>
        </w:tblCellMar>
        <w:tblInd w:w="164" w:type="dxa"/>
        <w:tblW w:type="pct" w:w="100%"/>
      </w:tblPr>
      <w:tr>
        <w:trPr>
          <w:cantSplit/>
        </w:trPr>
        <w:tc>
          <w:tcPr>
            <w:shd w:color="auto" w:fill="fcefdc" w:val="clear"/>
            <w:tcMar>
              <w:top w:w="92" w:type="dxa"/>
              <w:bottom w:w="92" w:type="dxa"/>
            </w:tcMar>
          </w:tcPr>
          <w:p>
            <w:pPr>
              <w:pStyle w:val="BodyText"/>
            </w:pPr>
            <w:pPr>
              <w:spacing w:before="0" w:after="0"/>
              <w:textAlignment w:val="center"/>
            </w:pPr>
            <w:r>
              <w:drawing>
                <wp:inline>
                  <wp:extent cx="152400" cy="152400"/>
                  <wp:effectExtent b="0" l="0" r="0" t="0"/>
                  <wp:docPr descr="" title="" id="31" name="Picture"/>
                  <a:graphic>
                    <a:graphicData uri="http://schemas.openxmlformats.org/drawingml/2006/picture">
                      <pic:pic>
                        <pic:nvPicPr>
                          <pic:cNvPr descr="/opt/quarto/share/formats/docx/warning.png" id="32" name="Picture"/>
                          <pic:cNvPicPr>
                            <a:picLocks noChangeArrowheads="1" noChangeAspect="1"/>
                          </pic:cNvPicPr>
                        </pic:nvPicPr>
                        <pic:blipFill>
                          <a:blip r:embed="rId30"/>
                          <a:stretch>
                            <a:fillRect/>
                          </a:stretch>
                        </pic:blipFill>
                        <pic:spPr bwMode="auto">
                          <a:xfrm>
                            <a:off x="0" y="0"/>
                            <a:ext cx="152400" cy="152400"/>
                          </a:xfrm>
                          <a:prstGeom prst="rect">
                            <a:avLst/>
                          </a:prstGeom>
                          <a:noFill/>
                          <a:ln w="9525">
                            <a:noFill/>
                            <a:headEnd/>
                            <a:tailEnd/>
                          </a:ln>
                        </pic:spPr>
                      </pic:pic>
                    </a:graphicData>
                  </a:graphic>
                </wp:inline>
              </w:drawing>
            </w:r>
            <w:r>
              <w:t xml:space="preserve"> </w:t>
            </w:r>
            <w:r>
              <w:t xml:space="preserve"> </w:t>
            </w:r>
            <w:r>
              <w:t xml:space="preserve">Warning 1: Waldflächenzunahme</w:t>
            </w:r>
          </w:p>
        </w:tc>
      </w:tr>
      <w:tr>
        <w:trPr>
          <w:cantSplit/>
        </w:trPr>
        <w:tc>
          <w:tcPr>
            <w:tcMar>
              <w:top w:w="108" w:type="dxa"/>
              <w:bottom w:w="108" w:type="dxa"/>
            </w:tcMar>
          </w:tcPr>
          <w:p>
            <w:pPr>
              <w:pStyle w:val="BodyText"/>
            </w:pPr>
            <w:pPr>
              <w:spacing w:before="16" w:after="16"/>
            </w:pPr>
            <w:r>
              <w:t xml:space="preserve">Es wird empfohlen diesen Wert nicht zu kommunizieren da Dieser einen</w:t>
            </w:r>
            <w:r>
              <w:t xml:space="preserve"> </w:t>
            </w:r>
            <w:r>
              <w:t xml:space="preserve">hohen Stichprobenfehler hat (SE68 = 1.707). Der wahre Wert der Fläche</w:t>
            </w:r>
            <w:r>
              <w:t xml:space="preserve"> </w:t>
            </w:r>
            <w:r>
              <w:t xml:space="preserve">liegt mit einer Wahrscheinlichkeit von 68 % in einem Bereich von 99,7 ha</w:t>
            </w:r>
            <w:r>
              <w:t xml:space="preserve"> </w:t>
            </w:r>
            <w:r>
              <w:t xml:space="preserve">± 1.707 ha. Da aber selbst ein Waldflächenverlust von 1607,3 ha nur</w:t>
            </w:r>
            <w:r>
              <w:t xml:space="preserve"> </w:t>
            </w:r>
            <w:r>
              <w:t xml:space="preserve">0,14 %</w:t>
            </w:r>
            <w:r>
              <w:t xml:space="preserve"> </w:t>
            </w:r>
            <w:r>
              <w:t xml:space="preserve">der Waldfläche entspricht, ist die Aussage »Waldfläche in Brandenburg</w:t>
            </w:r>
            <w:r>
              <w:t xml:space="preserve"> </w:t>
            </w:r>
            <w:r>
              <w:t xml:space="preserve">bleibt konstant« gerechtfertigt.</w:t>
            </w:r>
          </w:p>
        </w:tc>
      </w:tr>
    </w:tbl>
    <w:p>
      <w:pPr>
        <w:pStyle w:val="BodyText"/>
      </w:pPr>
      <w:r>
        <w:t xml:space="preserve">Wie in</w:t>
      </w:r>
      <w:r>
        <w:t xml:space="preserve"> </w:t>
      </w:r>
      <w:hyperlink w:anchor="tbl-waldfl22_spez">
        <w:r>
          <w:rPr>
            <w:rStyle w:val="Hyperlink"/>
          </w:rPr>
          <w:t xml:space="preserve">Tabelle 2</w:t>
        </w:r>
      </w:hyperlink>
      <w:r>
        <w:t xml:space="preserve"> </w:t>
      </w:r>
      <w:r>
        <w:t xml:space="preserve">gezeigt, verfügt Brandenburg über eine</w:t>
      </w:r>
      <w:r>
        <w:t xml:space="preserve"> </w:t>
      </w:r>
      <w:r>
        <w:t xml:space="preserve">Waldfläche von</w:t>
      </w:r>
      <w:r>
        <w:t xml:space="preserve"> </w:t>
      </w:r>
      <w:r>
        <w:rPr>
          <w:b/>
          <w:bCs/>
        </w:rPr>
        <w:t xml:space="preserve">1.127.980 ha</w:t>
      </w:r>
      <w:r>
        <w:t xml:space="preserve">.</w:t>
      </w:r>
      <w:r>
        <w:t xml:space="preserve"> </w:t>
      </w:r>
      <w:r>
        <w:t xml:space="preserve">Forstwirtschaftlich unterteilt besteht diese aus:</w:t>
      </w:r>
    </w:p>
    <w:p>
      <w:pPr>
        <w:pStyle w:val="Compact"/>
        <w:numPr>
          <w:ilvl w:val="0"/>
          <w:numId w:val="1009"/>
        </w:numPr>
      </w:pPr>
      <w:r>
        <w:t xml:space="preserve">»bestockter Holzboden«:</w:t>
      </w:r>
      <w:r>
        <w:t xml:space="preserve"> </w:t>
      </w:r>
      <w:r>
        <w:t xml:space="preserve">1.094.974 ha,</w:t>
      </w:r>
      <w:r>
        <w:t xml:space="preserve"> </w:t>
      </w:r>
      <w:r>
        <w:t xml:space="preserve">das sind</w:t>
      </w:r>
      <w:r>
        <w:t xml:space="preserve"> </w:t>
      </w:r>
      <w:r>
        <w:t xml:space="preserve">97,07 %.</w:t>
      </w:r>
    </w:p>
    <w:p>
      <w:pPr>
        <w:pStyle w:val="Compact"/>
        <w:numPr>
          <w:ilvl w:val="0"/>
          <w:numId w:val="1009"/>
        </w:numPr>
      </w:pPr>
      <w:r>
        <w:t xml:space="preserve">»Nichtholzboden«:</w:t>
      </w:r>
      <w:r>
        <w:t xml:space="preserve"> </w:t>
      </w:r>
      <w:r>
        <w:t xml:space="preserve">28.618,31 ha,</w:t>
      </w:r>
      <w:r>
        <w:t xml:space="preserve"> </w:t>
      </w:r>
      <w:r>
        <w:t xml:space="preserve">das sind</w:t>
      </w:r>
      <w:r>
        <w:t xml:space="preserve"> </w:t>
      </w:r>
      <w:r>
        <w:t xml:space="preserve">2,54 %.</w:t>
      </w:r>
    </w:p>
    <w:p>
      <w:pPr>
        <w:pStyle w:val="Compact"/>
        <w:numPr>
          <w:ilvl w:val="0"/>
          <w:numId w:val="1009"/>
        </w:numPr>
      </w:pPr>
      <w:r>
        <w:t xml:space="preserve">»Blößen«:</w:t>
      </w:r>
      <w:r>
        <w:t xml:space="preserve"> </w:t>
      </w:r>
      <w:r>
        <w:t xml:space="preserve">4.387,476 ha,</w:t>
      </w:r>
      <w:r>
        <w:t xml:space="preserve"> </w:t>
      </w:r>
      <w:r>
        <w:t xml:space="preserve">das sind</w:t>
      </w:r>
      <w:r>
        <w:t xml:space="preserve"> </w:t>
      </w:r>
      <w:r>
        <w:t xml:space="preserve">0,39 %.</w:t>
      </w:r>
      <w:r>
        <w:br/>
      </w:r>
    </w:p>
    <w:tbl>
      <w:tblPr>
        <w:tblStyle w:val="Table"/>
        <w:tblW w:type="pct" w:w="5000"/>
        <w:tblLayout w:type="fixed"/>
        <w:tblLook w:firstRow="0" w:lastRow="0" w:firstColumn="0" w:lastColumn="0" w:noHBand="0" w:noVBand="0" w:val="0000"/>
      </w:tblPr>
      <w:tblGrid>
        <w:gridCol w:w="7920"/>
      </w:tblGrid>
      <w:tr>
        <w:tc>
          <w:tcPr/>
          <w:bookmarkStart w:id="33" w:name="tbl-waldfl22_spez"/>
          <w:p>
            <w:pPr>
              <w:jc w:val="center"/>
            </w:pPr>
            <w:pPr>
              <w:jc w:val="start"/>
              <w:spacing w:before="200"/>
              <w:pStyle w:val="ImageCaption"/>
            </w:pPr>
            <w:r>
              <w:t xml:space="preserve">Tabelle 2: Waldflächen nach Kategorien in Brandenburg aus der BWI 2022 und die ermittelten Flächenänderungen zur BWI 2012</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w:tblLayout w:type="fixed"/>
              <w:jc w:val="center"/>
              <w:tblLook w:firstRow="1" w:lastRow="0" w:firstColumn="0" w:lastColumn="0" w:noHBand="0" w:noVBand="1"/>
            </w:tblPr>
            <w:tblGrid>
              <w:gridCol w:w="2817"/>
              <w:gridCol w:w="2020"/>
              <w:gridCol w:w="1245"/>
              <w:gridCol w:w="2941"/>
            </w:tblGrid>
            <w:tr>
              <w:trPr>
                <w:trHeight w:val="624" w:hRule="auto"/>
                <w:tblHeader/>
              </w:trPr>
              header1
              <w:tc>
                <w:tcPr>
                  <w:tcBorders>
                    <w:bottom w:val="single" w:sz="12" w:space="0" w:color="666666"/>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Kategorie</w:t>
                  </w:r>
                </w:p>
              </w:tc>
              <w:tc>
                <w:tcPr>
                  <w:tcBorders>
                    <w:bottom w:val="single" w:sz="12" w:space="0" w:color="666666"/>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Fläche in ha</w:t>
                  </w:r>
                </w:p>
              </w:tc>
              <w:tc>
                <w:tcPr>
                  <w:tcBorders>
                    <w:bottom w:val="single" w:sz="12" w:space="0" w:color="666666"/>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Prozent</w:t>
                  </w:r>
                </w:p>
              </w:tc>
              <w:tc>
                <w:tcPr>
                  <w:tcBorders>
                    <w:bottom w:val="single" w:sz="12" w:space="0" w:color="666666"/>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Flächenänderung in ha</w:t>
                  </w:r>
                </w:p>
              </w:tc>
            </w:tr>
            <w:tr>
              <w:trPr>
                <w:trHeight w:val="600" w:hRule="auto"/>
              </w:trPr>
              body1
              <w:tc>
                <w:tcPr>
                  <w:tcBorders>
                    <w:bottom w:val="none" w:sz="0" w:space="0" w:color="000000"/>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Holzboden</w:t>
                  </w:r>
                </w:p>
              </w:tc>
              <w:tc>
                <w:tcPr>
                  <w:tcBorders>
                    <w:bottom w:val="none" w:sz="0" w:space="0" w:color="000000"/>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1.099.361,8</w:t>
                  </w:r>
                </w:p>
              </w:tc>
              <w:tc>
                <w:tcPr>
                  <w:tcBorders>
                    <w:bottom w:val="none" w:sz="0" w:space="0" w:color="000000"/>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97,5</w:t>
                  </w:r>
                </w:p>
              </w:tc>
              <w:tc>
                <w:tcPr>
                  <w:tcBorders>
                    <w:bottom w:val="none" w:sz="0" w:space="0" w:color="000000"/>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3.789,2</w:t>
                  </w:r>
                </w:p>
              </w:tc>
            </w:tr>
            <w:tr>
              <w:trPr>
                <w:trHeight w:val="600" w:hRule="auto"/>
              </w:trPr>
              body2
              <w:tc>
                <w:tcPr>
                  <w:tcBorders>
                    <w:bottom w:val="none" w:sz="0" w:space="0" w:color="000000"/>
                    <w:top w:val="none" w:sz="0" w:space="0" w:color="000000"/>
                    <w:left w:val="none" w:sz="0" w:space="0" w:color="000000"/>
                    <w:right w:val="none" w:sz="0" w:space="0" w:color="000000"/>
                  </w:tcBorders>
                  <w:shd w:val="clear" w:color="auto" w:fill="D9EAD3"/>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bestockter Holzboden</w:t>
                  </w:r>
                </w:p>
              </w:tc>
              <w:tc>
                <w:tcPr>
                  <w:tcBorders>
                    <w:bottom w:val="none" w:sz="0" w:space="0" w:color="000000"/>
                    <w:top w:val="none" w:sz="0" w:space="0" w:color="000000"/>
                    <w:left w:val="none" w:sz="0" w:space="0" w:color="000000"/>
                    <w:right w:val="none" w:sz="0" w:space="0" w:color="000000"/>
                  </w:tcBorders>
                  <w:shd w:val="clear" w:color="auto" w:fill="D9EAD3"/>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1.094.974,3</w:t>
                  </w:r>
                </w:p>
              </w:tc>
              <w:tc>
                <w:tcPr>
                  <w:tcBorders>
                    <w:bottom w:val="none" w:sz="0" w:space="0" w:color="000000"/>
                    <w:top w:val="none" w:sz="0" w:space="0" w:color="000000"/>
                    <w:left w:val="none" w:sz="0" w:space="0" w:color="000000"/>
                    <w:right w:val="none" w:sz="0" w:space="0" w:color="000000"/>
                  </w:tcBorders>
                  <w:shd w:val="clear" w:color="auto" w:fill="D9EAD3"/>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97,1</w:t>
                  </w:r>
                </w:p>
              </w:tc>
              <w:tc>
                <w:tcPr>
                  <w:tcBorders>
                    <w:bottom w:val="none" w:sz="0" w:space="0" w:color="000000"/>
                    <w:top w:val="none" w:sz="0" w:space="0" w:color="000000"/>
                    <w:left w:val="none" w:sz="0" w:space="0" w:color="000000"/>
                    <w:right w:val="none" w:sz="0" w:space="0" w:color="000000"/>
                  </w:tcBorders>
                  <w:shd w:val="clear" w:color="auto" w:fill="D9EAD3"/>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6.680,9</w:t>
                  </w:r>
                </w:p>
              </w:tc>
            </w:tr>
            <w:tr>
              <w:trPr>
                <w:trHeight w:val="600" w:hRule="auto"/>
              </w:trPr>
              body3
              <w:tc>
                <w:tcPr>
                  <w:tcBorders>
                    <w:bottom w:val="none" w:sz="0" w:space="0" w:color="000000"/>
                    <w:top w:val="none" w:sz="0" w:space="0" w:color="000000"/>
                    <w:left w:val="none" w:sz="0" w:space="0" w:color="000000"/>
                    <w:right w:val="none" w:sz="0" w:space="0" w:color="000000"/>
                  </w:tcBorders>
                  <w:shd w:val="clear" w:color="auto" w:fill="D9EAD3"/>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Blöße</w:t>
                  </w:r>
                </w:p>
              </w:tc>
              <w:tc>
                <w:tcPr>
                  <w:tcBorders>
                    <w:bottom w:val="none" w:sz="0" w:space="0" w:color="000000"/>
                    <w:top w:val="none" w:sz="0" w:space="0" w:color="000000"/>
                    <w:left w:val="none" w:sz="0" w:space="0" w:color="000000"/>
                    <w:right w:val="none" w:sz="0" w:space="0" w:color="000000"/>
                  </w:tcBorders>
                  <w:shd w:val="clear" w:color="auto" w:fill="D9EAD3"/>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4.387,5</w:t>
                  </w:r>
                </w:p>
              </w:tc>
              <w:tc>
                <w:tcPr>
                  <w:tcBorders>
                    <w:bottom w:val="none" w:sz="0" w:space="0" w:color="000000"/>
                    <w:top w:val="none" w:sz="0" w:space="0" w:color="000000"/>
                    <w:left w:val="none" w:sz="0" w:space="0" w:color="000000"/>
                    <w:right w:val="none" w:sz="0" w:space="0" w:color="000000"/>
                  </w:tcBorders>
                  <w:shd w:val="clear" w:color="auto" w:fill="D9EAD3"/>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0,4</w:t>
                  </w:r>
                </w:p>
              </w:tc>
              <w:tc>
                <w:tcPr>
                  <w:tcBorders>
                    <w:bottom w:val="none" w:sz="0" w:space="0" w:color="000000"/>
                    <w:top w:val="none" w:sz="0" w:space="0" w:color="000000"/>
                    <w:left w:val="none" w:sz="0" w:space="0" w:color="000000"/>
                    <w:right w:val="none" w:sz="0" w:space="0" w:color="000000"/>
                  </w:tcBorders>
                  <w:shd w:val="clear" w:color="auto" w:fill="D9EAD3"/>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-2.891,7</w:t>
                  </w:r>
                </w:p>
              </w:tc>
            </w:tr>
            <w:tr>
              <w:trPr>
                <w:trHeight w:val="600" w:hRule="auto"/>
              </w:trPr>
              body4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Nichtholzboden</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28.618,3</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2,5</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-3.689,5</w:t>
                  </w:r>
                </w:p>
              </w:tc>
            </w:tr>
            <w:tr>
              <w:trPr>
                <w:trHeight w:val="600" w:hRule="auto"/>
              </w:trPr>
              body5
              <w:tc>
                <w:tcPr>
                  <w:tcBorders>
                    <w:bottom w:val="single" w:sz="12" w:space="0" w:color="666666"/>
                    <w:top w:val="none" w:sz="0" w:space="0" w:color="000000"/>
                    <w:left w:val="none" w:sz="0" w:space="0" w:color="000000"/>
                    <w:right w:val="none" w:sz="0" w:space="0" w:color="000000"/>
                  </w:tcBorders>
                  <w:shd w:val="clear" w:color="auto" w:fill="FFF2CC"/>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true"/>
                      <w:u w:val="none"/>
                      <w:sz w:val="22"/>
                      <w:szCs w:val="22"/>
                      <w:color w:val="000000"/>
                    </w:rPr>
                    <w:t xml:space="preserve">Wald</w:t>
                  </w:r>
                </w:p>
              </w:tc>
              <w:tc>
                <w:tcPr>
                  <w:tcBorders>
                    <w:bottom w:val="single" w:sz="12" w:space="0" w:color="666666"/>
                    <w:top w:val="none" w:sz="0" w:space="0" w:color="000000"/>
                    <w:left w:val="none" w:sz="0" w:space="0" w:color="000000"/>
                    <w:right w:val="none" w:sz="0" w:space="0" w:color="000000"/>
                  </w:tcBorders>
                  <w:shd w:val="clear" w:color="auto" w:fill="FFF2CC"/>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true"/>
                      <w:u w:val="none"/>
                      <w:sz w:val="22"/>
                      <w:szCs w:val="22"/>
                      <w:color w:val="000000"/>
                    </w:rPr>
                    <w:t xml:space="preserve">1.127.980,1</w:t>
                  </w:r>
                </w:p>
              </w:tc>
              <w:tc>
                <w:tcPr>
                  <w:tcBorders>
                    <w:bottom w:val="single" w:sz="12" w:space="0" w:color="666666"/>
                    <w:top w:val="none" w:sz="0" w:space="0" w:color="000000"/>
                    <w:left w:val="none" w:sz="0" w:space="0" w:color="000000"/>
                    <w:right w:val="none" w:sz="0" w:space="0" w:color="000000"/>
                  </w:tcBorders>
                  <w:shd w:val="clear" w:color="auto" w:fill="FFF2CC"/>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true"/>
                      <w:u w:val="none"/>
                      <w:sz w:val="22"/>
                      <w:szCs w:val="22"/>
                      <w:color w:val="000000"/>
                    </w:rPr>
                    <w:t xml:space="preserve">100,0</w:t>
                  </w:r>
                </w:p>
              </w:tc>
              <w:tc>
                <w:tcPr>
                  <w:tcBorders>
                    <w:bottom w:val="single" w:sz="12" w:space="0" w:color="666666"/>
                    <w:top w:val="none" w:sz="0" w:space="0" w:color="000000"/>
                    <w:left w:val="none" w:sz="0" w:space="0" w:color="000000"/>
                    <w:right w:val="none" w:sz="0" w:space="0" w:color="000000"/>
                  </w:tcBorders>
                  <w:shd w:val="clear" w:color="auto" w:fill="FFF2CC"/>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true"/>
                      <w:u w:val="none"/>
                      <w:sz w:val="22"/>
                      <w:szCs w:val="22"/>
                      <w:color w:val="000000"/>
                    </w:rPr>
                    <w:t xml:space="preserve">99,7</w:t>
                  </w:r>
                </w:p>
              </w:tc>
            </w:tr>
          </w:tbl>
          <w:bookmarkEnd w:id="33"/>
        </w:tc>
      </w:tr>
    </w:tbl>
    <w:tbl>
      <w:tblPr>
        <w:tblStyle w:val="Table"/>
        <w:tblLook w:firstRow="0" w:lastRow="0" w:firstColumn="0" w:lastColumn="0" w:noHBand="0" w:noVBand="0" w:val="0000"/>
        <w:tblBorders>
          <w:left w:val="single" w:sz="24" w:space="0" w:color="0758E5"/>
          <w:right w:val="single" w:sz="4" w:space="0" w:color="0758E5"/>
          <w:top w:val="single" w:sz="4" w:space="0" w:color="0758E5"/>
          <w:bottom w:val="single" w:sz="4" w:space="0" w:color="0758E5"/>
        </w:tblBorders>
        <w:tblCellMar>
          <w:left w:w="144" w:type="dxa"/>
          <w:right w:w="144" w:type="dxa"/>
        </w:tblCellMar>
        <w:tblInd w:w="164" w:type="dxa"/>
        <w:tblW w:type="pct" w:w="100%"/>
      </w:tblPr>
      <w:tr>
        <w:trPr>
          <w:cantSplit/>
        </w:trPr>
        <w:tc>
          <w:tcPr>
            <w:shd w:color="auto" w:fill="dae6fb" w:val="clear"/>
            <w:tcMar>
              <w:top w:w="92" w:type="dxa"/>
              <w:bottom w:w="92" w:type="dxa"/>
            </w:tcMar>
          </w:tcPr>
          <w:p>
            <w:pPr>
              <w:pStyle w:val="BodyText"/>
            </w:pPr>
            <w:pPr>
              <w:spacing w:before="0" w:after="0"/>
              <w:textAlignment w:val="center"/>
            </w:pPr>
            <w:r>
              <w:drawing>
                <wp:inline>
                  <wp:extent cx="152400" cy="152400"/>
                  <wp:effectExtent b="0" l="0" r="0" t="0"/>
                  <wp:docPr descr="" title="" id="34" name="Picture"/>
                  <a:graphic>
                    <a:graphicData uri="http://schemas.openxmlformats.org/drawingml/2006/picture">
                      <pic:pic>
                        <pic:nvPicPr>
                          <pic:cNvPr descr="/opt/quarto/share/formats/docx/note.png" id="35" name="Picture"/>
                          <pic:cNvPicPr>
                            <a:picLocks noChangeArrowheads="1" noChangeAspect="1"/>
                          </pic:cNvPicPr>
                        </pic:nvPicPr>
                        <pic:blipFill>
                          <a:blip r:embed="rId20"/>
                          <a:stretch>
                            <a:fillRect/>
                          </a:stretch>
                        </pic:blipFill>
                        <pic:spPr bwMode="auto">
                          <a:xfrm>
                            <a:off x="0" y="0"/>
                            <a:ext cx="152400" cy="152400"/>
                          </a:xfrm>
                          <a:prstGeom prst="rect">
                            <a:avLst/>
                          </a:prstGeom>
                          <a:noFill/>
                          <a:ln w="9525">
                            <a:noFill/>
                            <a:headEnd/>
                            <a:tailEnd/>
                          </a:ln>
                        </pic:spPr>
                      </pic:pic>
                    </a:graphicData>
                  </a:graphic>
                </wp:inline>
              </w:drawing>
            </w:r>
            <w:r>
              <w:t xml:space="preserve"> </w:t>
            </w:r>
            <w:r>
              <w:t xml:space="preserve"> </w:t>
            </w:r>
            <w:r>
              <w:t xml:space="preserve">Note 2: Waldflächenspezifikationen</w:t>
            </w:r>
          </w:p>
        </w:tc>
      </w:tr>
      <w:tr>
        <w:trPr>
          <w:cantSplit/>
        </w:trPr>
        <w:tc>
          <w:tcPr>
            <w:tcMar>
              <w:top w:w="108" w:type="dxa"/>
              <w:bottom w:w="108" w:type="dxa"/>
            </w:tcMar>
          </w:tcPr>
          <w:p>
            <w:pPr>
              <w:pStyle w:val="BodyText"/>
            </w:pPr>
            <w:pPr>
              <w:spacing w:before="16"/>
            </w:pPr>
            <w:r>
              <w:rPr>
                <w:b/>
                <w:bCs/>
              </w:rPr>
              <w:t xml:space="preserve">Holzboden:</w:t>
            </w:r>
            <w:r>
              <w:t xml:space="preserve"> </w:t>
            </w:r>
            <w:r>
              <w:t xml:space="preserve">Waldfläche auf der Bäume wachsen sollen.</w:t>
            </w:r>
          </w:p>
          <w:p>
            <w:pPr>
              <w:pStyle w:val="BodyText"/>
            </w:pPr>
            <w:r>
              <w:rPr>
                <w:b/>
                <w:bCs/>
              </w:rPr>
              <w:t xml:space="preserve">Blößen:</w:t>
            </w:r>
            <w:r>
              <w:t xml:space="preserve"> </w:t>
            </w:r>
            <w:r>
              <w:t xml:space="preserve">Holzboden auf denen vorübergehend keine Bäume stehen.</w:t>
            </w:r>
          </w:p>
          <w:p>
            <w:pPr>
              <w:pStyle w:val="BodyText"/>
            </w:pPr>
            <w:pPr>
              <w:spacing w:after="16"/>
            </w:pPr>
            <w:r>
              <w:rPr>
                <w:b/>
                <w:bCs/>
              </w:rPr>
              <w:t xml:space="preserve">Nichtholzboden:</w:t>
            </w:r>
            <w:r>
              <w:t xml:space="preserve"> </w:t>
            </w:r>
            <w:r>
              <w:t xml:space="preserve">Waldfläche, die aus unterschiedlichen Gründen</w:t>
            </w:r>
            <w:r>
              <w:t xml:space="preserve"> </w:t>
            </w:r>
            <w:r>
              <w:t xml:space="preserve">baumfrei ist oder gehalten wird. Zum Beispiel Waldwege und Schneisen ab</w:t>
            </w:r>
            <w:r>
              <w:t xml:space="preserve"> </w:t>
            </w:r>
            <w:r>
              <w:t xml:space="preserve">5 m Breite und Holzlagerplätze.</w:t>
            </w:r>
          </w:p>
        </w:tc>
      </w:tr>
    </w:tbl>
    <w:p>
      <w:pPr>
        <w:pStyle w:val="BodyText"/>
      </w:pPr>
      <w:r>
        <w:drawing>
          <wp:inline>
            <wp:extent cx="4620126" cy="3696101"/>
            <wp:effectExtent b="0" l="0" r="0" t="0"/>
            <wp:docPr descr="" title="" id="37" name="Picture"/>
            <a:graphic>
              <a:graphicData uri="http://schemas.openxmlformats.org/drawingml/2006/picture">
                <pic:pic>
                  <pic:nvPicPr>
                    <pic:cNvPr descr="BWI-LFE_MLUK_files/figure-docx/TreemapWaldspez-1.png" id="38" name="Picture"/>
                    <pic:cNvPicPr>
                      <a:picLocks noChangeArrowheads="1" noChangeAspect="1"/>
                    </pic:cNvPicPr>
                  </pic:nvPicPr>
                  <pic:blipFill>
                    <a:blip r:embed="rId36"/>
                    <a:stretch>
                      <a:fillRect/>
                    </a:stretch>
                  </pic:blipFill>
                  <pic:spPr bwMode="auto">
                    <a:xfrm>
                      <a:off x="0" y="0"/>
                      <a:ext cx="4620126" cy="3696101"/>
                    </a:xfrm>
                    <a:prstGeom prst="rect">
                      <a:avLst/>
                    </a:prstGeom>
                    <a:noFill/>
                    <a:ln w="9525">
                      <a:noFill/>
                      <a:headEnd/>
                      <a:tailEnd/>
                    </a:ln>
                  </pic:spPr>
                </pic:pic>
              </a:graphicData>
            </a:graphic>
          </wp:inline>
        </w:drawing>
      </w:r>
    </w:p>
    <w:bookmarkStart w:id="42" w:name="veränderung-gegenüber-2012"/>
    <w:p>
      <w:pPr>
        <w:pStyle w:val="Heading3"/>
      </w:pPr>
      <w:r>
        <w:t xml:space="preserve">Veränderung gegenüber 2012</w:t>
      </w:r>
    </w:p>
    <w:p>
      <w:pPr>
        <w:pStyle w:val="FirstParagraph"/>
      </w:pPr>
      <w:r>
        <w:drawing>
          <wp:inline>
            <wp:extent cx="4620126" cy="3696101"/>
            <wp:effectExtent b="0" l="0" r="0" t="0"/>
            <wp:docPr descr="" title="" id="40" name="Picture"/>
            <a:graphic>
              <a:graphicData uri="http://schemas.openxmlformats.org/drawingml/2006/picture">
                <pic:pic>
                  <pic:nvPicPr>
                    <pic:cNvPr descr="BWI-LFE_MLUK_files/figure-docx/ver-waldfl-bb-22-1.png" id="41" name="Picture"/>
                    <pic:cNvPicPr>
                      <a:picLocks noChangeArrowheads="1" noChangeAspect="1"/>
                    </pic:cNvPicPr>
                  </pic:nvPicPr>
                  <pic:blipFill>
                    <a:blip r:embed="rId39"/>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Die Veränderungen der Waldfläche nach Waldflächenspezifikation</w:t>
      </w:r>
      <w:r>
        <w:t xml:space="preserve"> </w:t>
      </w:r>
      <w:r>
        <w:t xml:space="preserve">resultiert vor allem</w:t>
      </w:r>
    </w:p>
    <w:p>
      <w:pPr>
        <w:numPr>
          <w:ilvl w:val="0"/>
          <w:numId w:val="1010"/>
        </w:numPr>
      </w:pPr>
      <w:r>
        <w:t xml:space="preserve">in der Abnahme von Nichtholzboden ⤍ Weniger Holzlagerplätze,</w:t>
      </w:r>
      <w:r>
        <w:t xml:space="preserve"> </w:t>
      </w:r>
      <w:r>
        <w:t xml:space="preserve">Pflanzkämpe, Wildwiesen, …?</w:t>
      </w:r>
    </w:p>
    <w:p>
      <w:pPr>
        <w:numPr>
          <w:ilvl w:val="0"/>
          <w:numId w:val="1010"/>
        </w:numPr>
      </w:pPr>
      <w:r>
        <w:t xml:space="preserve">in der Abnahme von Blößen ⤍ v.a. Sukzession auf ehemaligen</w:t>
      </w:r>
      <w:r>
        <w:t xml:space="preserve"> </w:t>
      </w:r>
      <w:r>
        <w:t xml:space="preserve">Truppenübungsplätzen und der dadurch bedingten</w:t>
      </w:r>
    </w:p>
    <w:p>
      <w:pPr>
        <w:numPr>
          <w:ilvl w:val="0"/>
          <w:numId w:val="1010"/>
        </w:numPr>
      </w:pPr>
      <w:r>
        <w:t xml:space="preserve">Zunahme des bestockten Holzbodens.</w:t>
      </w:r>
    </w:p>
    <w:bookmarkEnd w:id="42"/>
    <w:bookmarkEnd w:id="43"/>
    <w:bookmarkStart w:id="56" w:name="eigentum"/>
    <w:p>
      <w:pPr>
        <w:pStyle w:val="Heading2"/>
      </w:pPr>
      <w:r>
        <w:t xml:space="preserve">Eigentum</w:t>
      </w:r>
    </w:p>
    <w:p>
      <w:pPr>
        <w:pStyle w:val="FirstParagraph"/>
      </w:pPr>
      <w:r>
        <w:t xml:space="preserve">Die Brandenburger Waldfläche in Höhe von 1.127.980 ha</w:t>
      </w:r>
      <w:r>
        <w:t xml:space="preserve"> </w:t>
      </w:r>
      <w:r>
        <w:t xml:space="preserve">teilt sich zu 62.29 % Privatwald und</w:t>
      </w:r>
      <w:r>
        <w:t xml:space="preserve"> </w:t>
      </w:r>
      <w:r>
        <w:t xml:space="preserve">37.71 % auf (vgl</w:t>
      </w:r>
      <w:r>
        <w:t xml:space="preserve"> </w:t>
      </w:r>
      <w:hyperlink w:anchor="tbl-eig_gruppe">
        <w:r>
          <w:rPr>
            <w:rStyle w:val="Hyperlink"/>
          </w:rPr>
          <w:t xml:space="preserve">Tabelle 3</w:t>
        </w:r>
      </w:hyperlink>
      <w:r>
        <w:t xml:space="preserve">).</w:t>
      </w:r>
    </w:p>
    <w:p>
      <w:pPr>
        <w:pStyle w:val="BodyText"/>
      </w:pPr>
      <w:r>
        <w:t xml:space="preserve">Aus der Veränderungsrechnung geht hervor, dass die Waldfläche weitestgehend stabil blieb aber vor allem durch waldumwandlungsbedingte Kompensationsflächenund Übertragung an privatrechtliche Stiftungen ein Eigentumsübergang an den Privatwald stattfand.</w:t>
      </w:r>
    </w:p>
    <w:tbl>
      <w:tblPr>
        <w:tblStyle w:val="Table"/>
        <w:tblW w:type="pct" w:w="5000"/>
        <w:tblLayout w:type="fixed"/>
        <w:tblLook w:firstRow="0" w:lastRow="0" w:firstColumn="0" w:lastColumn="0" w:noHBand="0" w:noVBand="0" w:val="0000"/>
      </w:tblPr>
      <w:tblGrid>
        <w:gridCol w:w="7920"/>
      </w:tblGrid>
      <w:tr>
        <w:tc>
          <w:tcPr/>
          <w:bookmarkStart w:id="44" w:name="tbl-eig_gruppe"/>
          <w:p>
            <w:pPr>
              <w:jc w:val="center"/>
            </w:pPr>
            <w:pPr>
              <w:jc w:val="start"/>
              <w:spacing w:before="200"/>
              <w:pStyle w:val="ImageCaption"/>
            </w:pPr>
            <w:r>
              <w:t xml:space="preserve">Tabelle 3: Waldflächen nach Öffentlichen- und Privatwald in Brandenburg aus der BWI 2022 und die ermittelten Flächenänderungen zur BWI 2012</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w:tblLayout w:type="fixed"/>
              <w:jc w:val="center"/>
              <w:tblLook w:firstRow="1" w:lastRow="0" w:firstColumn="0" w:lastColumn="0" w:noHBand="0" w:noVBand="1"/>
            </w:tblPr>
            <w:tblGrid>
              <w:gridCol w:w="2331"/>
              <w:gridCol w:w="1530"/>
              <w:gridCol w:w="1245"/>
              <w:gridCol w:w="1845"/>
            </w:tblGrid>
            <w:tr>
              <w:trPr>
                <w:trHeight w:val="624" w:hRule="auto"/>
                <w:tblHeader/>
              </w:trPr>
              header1
              <w:tc>
                <w:tcPr>
                  <w:tcBorders>
                    <w:bottom w:val="single" w:sz="12" w:space="0" w:color="666666"/>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Eigentumsart</w:t>
                  </w:r>
                </w:p>
              </w:tc>
              <w:tc>
                <w:tcPr>
                  <w:tcBorders>
                    <w:bottom w:val="single" w:sz="12" w:space="0" w:color="666666"/>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Fläche</w:t>
                  </w:r>
                </w:p>
              </w:tc>
              <w:tc>
                <w:tcPr>
                  <w:tcBorders>
                    <w:bottom w:val="single" w:sz="12" w:space="0" w:color="666666"/>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Prozent</w:t>
                  </w:r>
                </w:p>
              </w:tc>
              <w:tc>
                <w:tcPr>
                  <w:tcBorders>
                    <w:bottom w:val="single" w:sz="12" w:space="0" w:color="666666"/>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Veränderung</w:t>
                  </w:r>
                </w:p>
              </w:tc>
            </w:tr>
            <w:tr>
              <w:trPr>
                <w:trHeight w:val="615" w:hRule="auto"/>
              </w:trPr>
              body1
              <w:tc>
                <w:tcPr>
                  <w:tcBorders>
                    <w:bottom w:val="none" w:sz="0" w:space="0" w:color="000000"/>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Öffentlicher Wald</w:t>
                  </w:r>
                </w:p>
              </w:tc>
              <w:tc>
                <w:tcPr>
                  <w:tcBorders>
                    <w:bottom w:val="none" w:sz="0" w:space="0" w:color="000000"/>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425.385,7</w:t>
                  </w:r>
                </w:p>
              </w:tc>
              <w:tc>
                <w:tcPr>
                  <w:tcBorders>
                    <w:bottom w:val="none" w:sz="0" w:space="0" w:color="000000"/>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37,7</w:t>
                  </w:r>
                </w:p>
              </w:tc>
              <w:tc>
                <w:tcPr>
                  <w:tcBorders>
                    <w:bottom w:val="none" w:sz="0" w:space="0" w:color="000000"/>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-15.057,0</w:t>
                  </w:r>
                </w:p>
              </w:tc>
            </w:tr>
            <w:tr>
              <w:trPr>
                <w:trHeight w:val="600" w:hRule="auto"/>
              </w:trPr>
              body2
              <w:tc>
                <w:tcPr>
                  <w:tcBorders>
                    <w:bottom w:val="single" w:sz="12" w:space="0" w:color="666666"/>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Privatwald</w:t>
                  </w:r>
                </w:p>
              </w:tc>
              <w:tc>
                <w:tcPr>
                  <w:tcBorders>
                    <w:bottom w:val="single" w:sz="12" w:space="0" w:color="666666"/>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702.594,4</w:t>
                  </w:r>
                </w:p>
              </w:tc>
              <w:tc>
                <w:tcPr>
                  <w:tcBorders>
                    <w:bottom w:val="single" w:sz="12" w:space="0" w:color="666666"/>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62,3</w:t>
                  </w:r>
                </w:p>
              </w:tc>
              <w:tc>
                <w:tcPr>
                  <w:tcBorders>
                    <w:bottom w:val="single" w:sz="12" w:space="0" w:color="666666"/>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15.157,0</w:t>
                  </w:r>
                </w:p>
              </w:tc>
            </w:tr>
          </w:tbl>
          <w:bookmarkEnd w:id="44"/>
        </w:tc>
      </w:tr>
    </w:tbl>
    <w:bookmarkStart w:id="55" w:name="privatwald-dominiert"/>
    <w:p>
      <w:pPr>
        <w:pStyle w:val="Heading3"/>
      </w:pPr>
      <w:r>
        <w:t xml:space="preserve">Privatwald dominiert</w:t>
      </w:r>
    </w:p>
    <w:p>
      <w:pPr>
        <w:pStyle w:val="FirstParagraph"/>
      </w:pPr>
      <w:r>
        <w:t xml:space="preserve">Grob eingeteilt in öffentlichen und privaten Wald dominiert der</w:t>
      </w:r>
      <w:r>
        <w:t xml:space="preserve"> </w:t>
      </w:r>
      <w:r>
        <w:t xml:space="preserve">Privatwald mit</w:t>
      </w:r>
      <w:r>
        <w:t xml:space="preserve"> </w:t>
      </w:r>
      <w:r>
        <w:rPr>
          <w:b/>
          <w:bCs/>
        </w:rPr>
        <w:t xml:space="preserve">62,29 %</w:t>
      </w:r>
      <w:r>
        <w:t xml:space="preserve"> </w:t>
      </w:r>
      <w:r>
        <w:t xml:space="preserve">der Waldfläche.</w:t>
      </w:r>
    </w:p>
    <w:p>
      <w:pPr>
        <w:pStyle w:val="BodyText"/>
      </w:pPr>
      <w:r>
        <w:drawing>
          <wp:inline>
            <wp:extent cx="4620126" cy="3696101"/>
            <wp:effectExtent b="0" l="0" r="0" t="0"/>
            <wp:docPr descr="" title="" id="46" name="Picture"/>
            <a:graphic>
              <a:graphicData uri="http://schemas.openxmlformats.org/drawingml/2006/picture">
                <pic:pic>
                  <pic:nvPicPr>
                    <pic:cNvPr descr="BWI-LFE_MLUK_files/figure-docx/kreis_waldeig_gr-1.png" id="47" name="Picture"/>
                    <pic:cNvPicPr>
                      <a:picLocks noChangeArrowheads="1" noChangeAspect="1"/>
                    </pic:cNvPicPr>
                  </pic:nvPicPr>
                  <pic:blipFill>
                    <a:blip r:embed="rId45"/>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Der Privatwald teilt sich wie folgt auf (vgl.</w:t>
      </w:r>
      <w:r>
        <w:t xml:space="preserve"> </w:t>
      </w:r>
      <w:hyperlink w:anchor="tbl-priv_eig">
        <w:r>
          <w:rPr>
            <w:rStyle w:val="Hyperlink"/>
          </w:rPr>
          <w:t xml:space="preserve">Tabelle 4</w:t>
        </w:r>
      </w:hyperlink>
      <w:r>
        <w:t xml:space="preserve">):</w:t>
      </w:r>
    </w:p>
    <w:tbl>
      <w:tblPr>
        <w:tblStyle w:val="Table"/>
        <w:tblW w:type="pct" w:w="5000"/>
        <w:tblLayout w:type="fixed"/>
        <w:tblLook w:firstRow="0" w:lastRow="0" w:firstColumn="0" w:lastColumn="0" w:noHBand="0" w:noVBand="0" w:val="0000"/>
      </w:tblPr>
      <w:tblGrid>
        <w:gridCol w:w="7920"/>
      </w:tblGrid>
      <w:tr>
        <w:tc>
          <w:tcPr/>
          <w:bookmarkStart w:id="48" w:name="tbl-priv_eig"/>
          <w:p>
            <w:pPr>
              <w:jc w:val="center"/>
            </w:pPr>
            <w:pPr>
              <w:jc w:val="start"/>
              <w:spacing w:before="200"/>
              <w:pStyle w:val="ImageCaption"/>
            </w:pPr>
            <w:r>
              <w:t xml:space="preserve">Tabelle 4: Waldflächen nach Größenklassen im Privatwald in Brandenburg aus der BWI 2022 und die ermittelten Flächenänderungen zur BWI 2012</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w:tblLayout w:type="fixed"/>
              <w:jc w:val="center"/>
              <w:tblLook w:firstRow="1" w:lastRow="0" w:firstColumn="0" w:lastColumn="0" w:noHBand="0" w:noVBand="1"/>
            </w:tblPr>
            <w:tblGrid>
              <w:gridCol w:w="3916"/>
              <w:gridCol w:w="1530"/>
              <w:gridCol w:w="1245"/>
              <w:gridCol w:w="1845"/>
            </w:tblGrid>
            <w:tr>
              <w:trPr>
                <w:trHeight w:val="624" w:hRule="auto"/>
                <w:tblHeader/>
              </w:trPr>
              header1
              <w:tc>
                <w:tcPr>
                  <w:tcBorders>
                    <w:bottom w:val="single" w:sz="12" w:space="0" w:color="666666"/>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Eigentumsart</w:t>
                  </w:r>
                </w:p>
              </w:tc>
              <w:tc>
                <w:tcPr>
                  <w:tcBorders>
                    <w:bottom w:val="single" w:sz="12" w:space="0" w:color="666666"/>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Fläche</w:t>
                  </w:r>
                </w:p>
              </w:tc>
              <w:tc>
                <w:tcPr>
                  <w:tcBorders>
                    <w:bottom w:val="single" w:sz="12" w:space="0" w:color="666666"/>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Prozent</w:t>
                  </w:r>
                </w:p>
              </w:tc>
              <w:tc>
                <w:tcPr>
                  <w:tcBorders>
                    <w:bottom w:val="single" w:sz="12" w:space="0" w:color="666666"/>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Veränderung</w:t>
                  </w:r>
                </w:p>
              </w:tc>
            </w:tr>
            <w:tr>
              <w:trPr>
                <w:trHeight w:val="603" w:hRule="auto"/>
              </w:trPr>
              body1
              <w:tc>
                <w:tcPr>
                  <w:tcBorders>
                    <w:bottom w:val="none" w:sz="0" w:space="0" w:color="000000"/>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Privatwald, bis 20 ha</w:t>
                  </w:r>
                </w:p>
              </w:tc>
              <w:tc>
                <w:tcPr>
                  <w:tcBorders>
                    <w:bottom w:val="none" w:sz="0" w:space="0" w:color="000000"/>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260.655,9</w:t>
                  </w:r>
                </w:p>
              </w:tc>
              <w:tc>
                <w:tcPr>
                  <w:tcBorders>
                    <w:bottom w:val="none" w:sz="0" w:space="0" w:color="000000"/>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23,1</w:t>
                  </w:r>
                </w:p>
              </w:tc>
              <w:tc>
                <w:tcPr>
                  <w:tcBorders>
                    <w:bottom w:val="none" w:sz="0" w:space="0" w:color="000000"/>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-3.689,0</w:t>
                  </w:r>
                </w:p>
              </w:tc>
            </w:tr>
            <w:tr>
              <w:trPr>
                <w:trHeight w:val="603" w:hRule="auto"/>
              </w:trPr>
              body2
              <w:tc>
                <w:tcPr>
                  <w:tcBorders>
                    <w:bottom w:val="none" w:sz="0" w:space="0" w:color="000000"/>
                    <w:top w:val="none" w:sz="0" w:space="0" w:color="000000"/>
                    <w:left w:val="none" w:sz="0" w:space="0" w:color="000000"/>
                    <w:right w:val="none" w:sz="0" w:space="0" w:color="000000"/>
                  </w:tcBorders>
                  <w:shd w:val="clear" w:color="auto" w:fill="D3D3D3"/>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Privatwald, über 20 bis 1000 ha</w:t>
                  </w:r>
                </w:p>
              </w:tc>
              <w:tc>
                <w:tcPr>
                  <w:tcBorders>
                    <w:bottom w:val="none" w:sz="0" w:space="0" w:color="000000"/>
                    <w:top w:val="none" w:sz="0" w:space="0" w:color="000000"/>
                    <w:left w:val="none" w:sz="0" w:space="0" w:color="000000"/>
                    <w:right w:val="none" w:sz="0" w:space="0" w:color="000000"/>
                  </w:tcBorders>
                  <w:shd w:val="clear" w:color="auto" w:fill="D3D3D3"/>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294.260,0</w:t>
                  </w:r>
                </w:p>
              </w:tc>
              <w:tc>
                <w:tcPr>
                  <w:tcBorders>
                    <w:bottom w:val="none" w:sz="0" w:space="0" w:color="000000"/>
                    <w:top w:val="none" w:sz="0" w:space="0" w:color="000000"/>
                    <w:left w:val="none" w:sz="0" w:space="0" w:color="000000"/>
                    <w:right w:val="none" w:sz="0" w:space="0" w:color="000000"/>
                  </w:tcBorders>
                  <w:shd w:val="clear" w:color="auto" w:fill="D3D3D3"/>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26,1</w:t>
                  </w:r>
                </w:p>
              </w:tc>
              <w:tc>
                <w:tcPr>
                  <w:tcBorders>
                    <w:bottom w:val="none" w:sz="0" w:space="0" w:color="000000"/>
                    <w:top w:val="none" w:sz="0" w:space="0" w:color="000000"/>
                    <w:left w:val="none" w:sz="0" w:space="0" w:color="000000"/>
                    <w:right w:val="none" w:sz="0" w:space="0" w:color="000000"/>
                  </w:tcBorders>
                  <w:shd w:val="clear" w:color="auto" w:fill="D3D3D3"/>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12.863,0</w:t>
                  </w:r>
                </w:p>
              </w:tc>
            </w:tr>
            <w:tr>
              <w:trPr>
                <w:trHeight w:val="603" w:hRule="auto"/>
              </w:trPr>
              body3
              <w:tc>
                <w:tcPr>
                  <w:tcBorders>
                    <w:bottom w:val="single" w:sz="12" w:space="0" w:color="666666"/>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Privatwald, über 1000 ha</w:t>
                  </w:r>
                </w:p>
              </w:tc>
              <w:tc>
                <w:tcPr>
                  <w:tcBorders>
                    <w:bottom w:val="single" w:sz="12" w:space="0" w:color="666666"/>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147.678,4</w:t>
                  </w:r>
                </w:p>
              </w:tc>
              <w:tc>
                <w:tcPr>
                  <w:tcBorders>
                    <w:bottom w:val="single" w:sz="12" w:space="0" w:color="666666"/>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13,1</w:t>
                  </w:r>
                </w:p>
              </w:tc>
              <w:tc>
                <w:tcPr>
                  <w:tcBorders>
                    <w:bottom w:val="single" w:sz="12" w:space="0" w:color="666666"/>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i w:val="false"/>
                      <w:b w:val="false"/>
                      <w:u w:val="none"/>
                      <w:sz w:val="22"/>
                      <w:szCs w:val="22"/>
                      <w:color w:val="000000"/>
                    </w:rPr>
                    <w:t xml:space="preserve">5.983,0</w:t>
                  </w:r>
                </w:p>
              </w:tc>
            </w:tr>
          </w:tbl>
          <w:bookmarkEnd w:id="48"/>
        </w:tc>
      </w:tr>
    </w:tbl>
    <w:p>
      <w:pPr>
        <w:pStyle w:val="BodyText"/>
      </w:pPr>
      <w:r>
        <w:drawing>
          <wp:inline>
            <wp:extent cx="4620126" cy="3696101"/>
            <wp:effectExtent b="0" l="0" r="0" t="0"/>
            <wp:docPr descr="" title="" id="50" name="Picture"/>
            <a:graphic>
              <a:graphicData uri="http://schemas.openxmlformats.org/drawingml/2006/picture">
                <pic:pic>
                  <pic:nvPicPr>
                    <pic:cNvPr descr="BWI-LFE_MLUK_files/figure-docx/waldfl_brb_eig-1.png" id="51" name="Picture"/>
                    <pic:cNvPicPr>
                      <a:picLocks noChangeArrowheads="1" noChangeAspect="1"/>
                    </pic:cNvPicPr>
                  </pic:nvPicPr>
                  <pic:blipFill>
                    <a:blip r:embed="rId49"/>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Innerhalb der großen Gruppe »Privatwald« dominiert die Größenklasse »über 20 bis 1000 ha«. Diese Größenklasse hat laut Veränderungsrechnung auch den größten Flächenzugewinn zu verzeichnen. Die Größenklasse bis 20 ha verzeichnet Flächenverluste in Höhe von 3.689 ha die auf Eigentumsübergang auf eine andere Größenklasse aber auch auf eine bessere Datenlage zurückzuführen sind.</w:t>
      </w:r>
    </w:p>
    <w:p>
      <w:pPr>
        <w:pStyle w:val="Compact"/>
        <w:numPr>
          <w:ilvl w:val="0"/>
          <w:numId w:val="1011"/>
        </w:numPr>
      </w:pPr>
      <w:r>
        <w:t xml:space="preserve">Brandenburg bleibt Privatwaldland mit</w:t>
      </w:r>
      <w:r>
        <w:t xml:space="preserve"> </w:t>
      </w:r>
      <w:r>
        <w:t xml:space="preserve">62,29 %</w:t>
      </w:r>
      <w:r>
        <w:t xml:space="preserve"> </w:t>
      </w:r>
      <w:r>
        <w:t xml:space="preserve">der Waldfläche</w:t>
      </w:r>
    </w:p>
    <w:p>
      <w:pPr>
        <w:pStyle w:val="Compact"/>
        <w:numPr>
          <w:ilvl w:val="0"/>
          <w:numId w:val="1011"/>
        </w:numPr>
      </w:pPr>
      <w:r>
        <w:t xml:space="preserve">Eigentumsart »Öffentlicher Wald« verliert an Fläche</w:t>
      </w:r>
      <w:r>
        <w:t xml:space="preserve"> </w:t>
      </w:r>
      <w:r>
        <w:t xml:space="preserve">-15.057,02 ha</w:t>
      </w:r>
      <w:r>
        <w:t xml:space="preserve"> </w:t>
      </w:r>
      <w:r>
        <w:t xml:space="preserve">(Stichprobenfehler ± 3.893 ha)</w:t>
      </w:r>
    </w:p>
    <w:bookmarkStart w:id="54" w:name="refs"/>
    <w:bookmarkStart w:id="53" w:name="ref-bwi_aufn2022"/>
    <w:p>
      <w:pPr>
        <w:pStyle w:val="Bibliography"/>
      </w:pPr>
      <w:r>
        <w:t xml:space="preserve">RIEDEL, Dr. Thomas, Petra HENNIG, Dr. Heino POLLEY und Frank SCHWITZGEBEL, 2021.</w:t>
      </w:r>
      <w:r>
        <w:t xml:space="preserve"> </w:t>
      </w:r>
      <w:r>
        <w:rPr>
          <w:i/>
          <w:iCs/>
        </w:rPr>
        <w:t xml:space="preserve">Aufnahmeanweisung für die vierte Bundeswaldinventur (2021 – 2022)</w:t>
      </w:r>
      <w:r>
        <w:t xml:space="preserve"> </w:t>
      </w:r>
      <w:r>
        <w:t xml:space="preserve">[online]. Johann Heinrich von Thünen-Institut, Bundesforschungsinstitut für Ländliche Räume, Wald und Fischerei, Thünen-Institut für Waldökosysteme, Alfred-Möller-Straße 1, Haus 41/42, 16225 Eberswalde. [Zugriff am: 1 April 2024]. Verfügbar unter:</w:t>
      </w:r>
      <w:r>
        <w:t xml:space="preserve"> </w:t>
      </w:r>
      <w:hyperlink r:id="rId52">
        <w:r>
          <w:rPr>
            <w:rStyle w:val="Hyperlink"/>
          </w:rPr>
          <w:t xml:space="preserve">https://www.bundeswaldinventur.de/fileadmin/SITE_MASTER/content/Downloads/BWIintern/Aufnahmeanweisung_BWI2022_20210629.pdf</w:t>
        </w:r>
      </w:hyperlink>
    </w:p>
    <w:bookmarkEnd w:id="53"/>
    <w:bookmarkEnd w:id="54"/>
    <w:bookmarkEnd w:id="55"/>
    <w:bookmarkEnd w:id="56"/>
    <w:bookmarkEnd w:id="57"/>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pacing w:val="-10"/>
      <w:kern w:val="28"/>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pacing w:val="-10"/>
      <w:kern w:val="28"/>
      <w:sz w:val="56"/>
      <w:szCs w:val="56"/>
    </w:rPr>
  </w:style>
  <w:style w:styleId="Subtitle" w:type="paragraph">
    <w:name w:val="Subtitle"/>
    <w:basedOn w:val="Normal"/>
    <w:next w:val="BodyText"/>
    <w:link w:val="SubtitleChar"/>
    <w:uiPriority w:val="11"/>
    <w:qFormat/>
    <w:rsid w:val="00A10FD9"/>
    <w:pPr>
      <w:numPr>
        <w:ilvl w:val="1"/>
      </w:numPr>
    </w:pPr>
    <w:rPr>
      <w:rFonts w:cstheme="majorBidi" w:eastAsiaTheme="majorEastAsia"/>
      <w:color w:themeColor="text1" w:themeTint="A6" w:val="595959"/>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spacing w:after="0" w:before="300"/>
      <w:jc w:val="center"/>
    </w:pPr>
    <w:rPr>
      <w:b/>
      <w:color w:val="345A8A"/>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shd w:val="clear" w:fill="f1f3f5"/>
    </w:pPr>
  </w:style>
  <w:style w:type="character" w:customStyle="1" w:styleId="KeywordTok">
    <w:name w:val="KeywordTok"/>
    <w:basedOn w:val="VerbatimChar"/>
    <w:rPr>
      <w:b/>
      <w:color w:val="003b4f"/>
      <w:shd w:val="clear" w:fill="f1f3f5"/>
    </w:rPr>
  </w:style>
  <w:style w:type="character" w:customStyle="1" w:styleId="DataTypeTok">
    <w:name w:val="DataTypeTok"/>
    <w:basedOn w:val="VerbatimChar"/>
    <w:rPr>
      <w:color w:val="ad0000"/>
      <w:shd w:val="clear" w:fill="f1f3f5"/>
    </w:rPr>
  </w:style>
  <w:style w:type="character" w:customStyle="1" w:styleId="DecValTok">
    <w:name w:val="DecValTok"/>
    <w:basedOn w:val="VerbatimChar"/>
    <w:rPr>
      <w:color w:val="ad0000"/>
      <w:shd w:val="clear" w:fill="f1f3f5"/>
    </w:rPr>
  </w:style>
  <w:style w:type="character" w:customStyle="1" w:styleId="BaseNTok">
    <w:name w:val="BaseNTok"/>
    <w:basedOn w:val="VerbatimChar"/>
    <w:rPr>
      <w:color w:val="ad0000"/>
      <w:shd w:val="clear" w:fill="f1f3f5"/>
    </w:rPr>
  </w:style>
  <w:style w:type="character" w:customStyle="1" w:styleId="FloatTok">
    <w:name w:val="FloatTok"/>
    <w:basedOn w:val="VerbatimChar"/>
    <w:rPr>
      <w:color w:val="ad0000"/>
      <w:shd w:val="clear" w:fill="f1f3f5"/>
    </w:rPr>
  </w:style>
  <w:style w:type="character" w:customStyle="1" w:styleId="ConstantTok">
    <w:name w:val="ConstantTok"/>
    <w:basedOn w:val="VerbatimChar"/>
    <w:rPr>
      <w:color w:val="8f5902"/>
      <w:shd w:val="clear" w:fill="f1f3f5"/>
    </w:rPr>
  </w:style>
  <w:style w:type="character" w:customStyle="1" w:styleId="CharTok">
    <w:name w:val="CharTok"/>
    <w:basedOn w:val="VerbatimChar"/>
    <w:rPr>
      <w:color w:val="20794d"/>
      <w:shd w:val="clear" w:fill="f1f3f5"/>
    </w:rPr>
  </w:style>
  <w:style w:type="character" w:customStyle="1" w:styleId="SpecialCharTok">
    <w:name w:val="SpecialCharTok"/>
    <w:basedOn w:val="VerbatimChar"/>
    <w:rPr>
      <w:color w:val="5e5e5e"/>
      <w:shd w:val="clear" w:fill="f1f3f5"/>
    </w:rPr>
  </w:style>
  <w:style w:type="character" w:customStyle="1" w:styleId="StringTok">
    <w:name w:val="StringTok"/>
    <w:basedOn w:val="VerbatimChar"/>
    <w:rPr>
      <w:color w:val="20794d"/>
      <w:shd w:val="clear" w:fill="f1f3f5"/>
    </w:rPr>
  </w:style>
  <w:style w:type="character" w:customStyle="1" w:styleId="VerbatimStringTok">
    <w:name w:val="VerbatimStringTok"/>
    <w:basedOn w:val="VerbatimChar"/>
    <w:rPr>
      <w:color w:val="20794d"/>
      <w:shd w:val="clear" w:fill="f1f3f5"/>
    </w:rPr>
  </w:style>
  <w:style w:type="character" w:customStyle="1" w:styleId="SpecialStringTok">
    <w:name w:val="SpecialStringTok"/>
    <w:basedOn w:val="VerbatimChar"/>
    <w:rPr>
      <w:color w:val="20794d"/>
      <w:shd w:val="clear" w:fill="f1f3f5"/>
    </w:rPr>
  </w:style>
  <w:style w:type="character" w:customStyle="1" w:styleId="ImportTok">
    <w:name w:val="ImportTok"/>
    <w:basedOn w:val="VerbatimChar"/>
    <w:rPr>
      <w:color w:val="00769e"/>
      <w:shd w:val="clear" w:fill="f1f3f5"/>
    </w:rPr>
  </w:style>
  <w:style w:type="character" w:customStyle="1" w:styleId="CommentTok">
    <w:name w:val="CommentTok"/>
    <w:basedOn w:val="VerbatimChar"/>
    <w:rPr>
      <w:color w:val="5e5e5e"/>
      <w:shd w:val="clear" w:fill="f1f3f5"/>
    </w:rPr>
  </w:style>
  <w:style w:type="character" w:customStyle="1" w:styleId="DocumentationTok">
    <w:name w:val="DocumentationTok"/>
    <w:basedOn w:val="VerbatimChar"/>
    <w:rPr>
      <w:i/>
      <w:color w:val="5e5e5e"/>
      <w:shd w:val="clear" w:fill="f1f3f5"/>
    </w:rPr>
  </w:style>
  <w:style w:type="character" w:customStyle="1" w:styleId="AnnotationTok">
    <w:name w:val="AnnotationTok"/>
    <w:basedOn w:val="VerbatimChar"/>
    <w:rPr>
      <w:color w:val="5e5e5e"/>
      <w:shd w:val="clear" w:fill="f1f3f5"/>
    </w:rPr>
  </w:style>
  <w:style w:type="character" w:customStyle="1" w:styleId="CommentVarTok">
    <w:name w:val="CommentVarTok"/>
    <w:basedOn w:val="VerbatimChar"/>
    <w:rPr>
      <w:i/>
      <w:color w:val="5e5e5e"/>
      <w:shd w:val="clear" w:fill="f1f3f5"/>
    </w:rPr>
  </w:style>
  <w:style w:type="character" w:customStyle="1" w:styleId="OtherTok">
    <w:name w:val="OtherTok"/>
    <w:basedOn w:val="VerbatimChar"/>
    <w:rPr>
      <w:color w:val="003b4f"/>
      <w:shd w:val="clear" w:fill="f1f3f5"/>
    </w:rPr>
  </w:style>
  <w:style w:type="character" w:customStyle="1" w:styleId="FunctionTok">
    <w:name w:val="FunctionTok"/>
    <w:basedOn w:val="VerbatimChar"/>
    <w:rPr>
      <w:color w:val="4758ab"/>
      <w:shd w:val="clear" w:fill="f1f3f5"/>
    </w:rPr>
  </w:style>
  <w:style w:type="character" w:customStyle="1" w:styleId="VariableTok">
    <w:name w:val="VariableTok"/>
    <w:basedOn w:val="VerbatimChar"/>
    <w:rPr>
      <w:color w:val="111111"/>
      <w:shd w:val="clear" w:fill="f1f3f5"/>
    </w:rPr>
  </w:style>
  <w:style w:type="character" w:customStyle="1" w:styleId="ControlFlowTok">
    <w:name w:val="ControlFlowTok"/>
    <w:basedOn w:val="VerbatimChar"/>
    <w:rPr>
      <w:b/>
      <w:color w:val="003b4f"/>
      <w:shd w:val="clear" w:fill="f1f3f5"/>
    </w:rPr>
  </w:style>
  <w:style w:type="character" w:customStyle="1" w:styleId="OperatorTok">
    <w:name w:val="OperatorTok"/>
    <w:basedOn w:val="VerbatimChar"/>
    <w:rPr>
      <w:color w:val="5e5e5e"/>
      <w:shd w:val="clear" w:fill="f1f3f5"/>
    </w:rPr>
  </w:style>
  <w:style w:type="character" w:customStyle="1" w:styleId="BuiltInTok">
    <w:name w:val="BuiltInTok"/>
    <w:basedOn w:val="VerbatimChar"/>
    <w:rPr>
      <w:color w:val="003b4f"/>
      <w:shd w:val="clear" w:fill="f1f3f5"/>
    </w:rPr>
  </w:style>
  <w:style w:type="character" w:customStyle="1" w:styleId="ExtensionTok">
    <w:name w:val="ExtensionTok"/>
    <w:basedOn w:val="VerbatimChar"/>
    <w:rPr>
      <w:color w:val="003b4f"/>
      <w:shd w:val="clear" w:fill="f1f3f5"/>
    </w:rPr>
  </w:style>
  <w:style w:type="character" w:customStyle="1" w:styleId="PreprocessorTok">
    <w:name w:val="PreprocessorTok"/>
    <w:basedOn w:val="VerbatimChar"/>
    <w:rPr>
      <w:color w:val="ad0000"/>
      <w:shd w:val="clear" w:fill="f1f3f5"/>
    </w:rPr>
  </w:style>
  <w:style w:type="character" w:customStyle="1" w:styleId="AttributeTok">
    <w:name w:val="AttributeTok"/>
    <w:basedOn w:val="VerbatimChar"/>
    <w:rPr>
      <w:color w:val="657422"/>
      <w:shd w:val="clear" w:fill="f1f3f5"/>
    </w:rPr>
  </w:style>
  <w:style w:type="character" w:customStyle="1" w:styleId="RegionMarkerTok">
    <w:name w:val="RegionMarkerTok"/>
    <w:basedOn w:val="VerbatimChar"/>
    <w:rPr>
      <w:color w:val="003b4f"/>
      <w:shd w:val="clear" w:fill="f1f3f5"/>
    </w:rPr>
  </w:style>
  <w:style w:type="character" w:customStyle="1" w:styleId="InformationTok">
    <w:name w:val="InformationTok"/>
    <w:basedOn w:val="VerbatimChar"/>
    <w:rPr>
      <w:color w:val="5e5e5e"/>
      <w:shd w:val="clear" w:fill="f1f3f5"/>
    </w:rPr>
  </w:style>
  <w:style w:type="character" w:customStyle="1" w:styleId="WarningTok">
    <w:name w:val="WarningTok"/>
    <w:basedOn w:val="VerbatimChar"/>
    <w:rPr>
      <w:i/>
      <w:color w:val="5e5e5e"/>
      <w:shd w:val="clear" w:fill="f1f3f5"/>
    </w:rPr>
  </w:style>
  <w:style w:type="character" w:customStyle="1" w:styleId="AlertTok">
    <w:name w:val="AlertTok"/>
    <w:basedOn w:val="VerbatimChar"/>
    <w:rPr>
      <w:color w:val="ad0000"/>
      <w:shd w:val="clear" w:fill="f1f3f5"/>
    </w:rPr>
  </w:style>
  <w:style w:type="character" w:customStyle="1" w:styleId="ErrorTok">
    <w:name w:val="ErrorTok"/>
    <w:basedOn w:val="VerbatimChar"/>
    <w:rPr>
      <w:color w:val="ad0000"/>
      <w:shd w:val="clear" w:fill="f1f3f5"/>
    </w:rPr>
  </w:style>
  <w:style w:type="character" w:customStyle="1" w:styleId="NormalTok">
    <w:name w:val="NormalTok"/>
    <w:basedOn w:val="VerbatimChar"/>
    <w:rPr>
      <w:color w:val="003b4f"/>
      <w:shd w:val="clear" w:fill="f1f3f5"/>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0" Target="media/rId20.png" /><Relationship Type="http://schemas.openxmlformats.org/officeDocument/2006/relationships/image" Id="rId30" Target="media/rId30.png" /><Relationship Type="http://schemas.openxmlformats.org/officeDocument/2006/relationships/image" Id="rId36" Target="media/rId36.png" /><Relationship Type="http://schemas.openxmlformats.org/officeDocument/2006/relationships/image" Id="rId45" Target="media/rId45.png" /><Relationship Type="http://schemas.openxmlformats.org/officeDocument/2006/relationships/image" Id="rId39" Target="media/rId39.png" /><Relationship Type="http://schemas.openxmlformats.org/officeDocument/2006/relationships/image" Id="rId49" Target="media/rId49.png" /><Relationship Type="http://schemas.openxmlformats.org/officeDocument/2006/relationships/hyperlink" Id="rId52" Target="https://www.bundeswaldinventur.de/fileadmin/SITE_MASTER/content/Downloads/BWIintern/Aufnahmeanweisung_BWI2022_20210629.pdf" TargetMode="External" /></Relationships>
</file>

<file path=word/_rels/footnotes.xml.rels><?xml version="1.0" encoding="UTF-8"?><Relationships xmlns="http://schemas.openxmlformats.org/package/2006/relationships"><Relationship Type="http://schemas.openxmlformats.org/officeDocument/2006/relationships/hyperlink" Id="rId52" Target="https://www.bundeswaldinventur.de/fileadmin/SITE_MASTER/content/Downloads/BWIintern/Aufnahmeanweisung_BWI2022_20210629.pdf"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BWI-Datenzusammenfassung - LFE-MLUK</dc:title>
  <dc:creator>Sebastian Schmidt und Torsten Wiebke</dc:creator>
  <cp:keywords/>
  <dcterms:created xsi:type="dcterms:W3CDTF">2024-09-02T20:51:53Z</dcterms:created>
  <dcterms:modified xsi:type="dcterms:W3CDTF">2024-09-02T20:51:53Z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s">
    <vt:lpwstr/>
  </property>
  <property fmtid="{D5CDD505-2E9C-101B-9397-08002B2CF9AE}" pid="3" name="biblio-config">
    <vt:lpwstr>True</vt:lpwstr>
  </property>
  <property fmtid="{D5CDD505-2E9C-101B-9397-08002B2CF9AE}" pid="4" name="bibliography">
    <vt:lpwstr>../../LaTeX/bib/bibl.bib</vt:lpwstr>
  </property>
  <property fmtid="{D5CDD505-2E9C-101B-9397-08002B2CF9AE}" pid="5" name="by-author">
    <vt:lpwstr/>
  </property>
  <property fmtid="{D5CDD505-2E9C-101B-9397-08002B2CF9AE}" pid="6" name="csl">
    <vt:lpwstr>../../LaTeX/bib/iso690-author-date-de.csl</vt:lpwstr>
  </property>
  <property fmtid="{D5CDD505-2E9C-101B-9397-08002B2CF9AE}" pid="7" name="date">
    <vt:lpwstr>Stand 2. 9. 2024</vt:lpwstr>
  </property>
  <property fmtid="{D5CDD505-2E9C-101B-9397-08002B2CF9AE}" pid="8" name="date-format">
    <vt:lpwstr>[Stand] D. M. YYYY</vt:lpwstr>
  </property>
  <property fmtid="{D5CDD505-2E9C-101B-9397-08002B2CF9AE}" pid="9" name="editor">
    <vt:lpwstr>visual</vt:lpwstr>
  </property>
  <property fmtid="{D5CDD505-2E9C-101B-9397-08002B2CF9AE}" pid="10" name="header-includes">
    <vt:lpwstr/>
  </property>
  <property fmtid="{D5CDD505-2E9C-101B-9397-08002B2CF9AE}" pid="11" name="include-after">
    <vt:lpwstr/>
  </property>
  <property fmtid="{D5CDD505-2E9C-101B-9397-08002B2CF9AE}" pid="12" name="include-before">
    <vt:lpwstr/>
  </property>
  <property fmtid="{D5CDD505-2E9C-101B-9397-08002B2CF9AE}" pid="13" name="institution">
    <vt:lpwstr>Landeskompetenzzentrum Forst Eberswalde</vt:lpwstr>
  </property>
  <property fmtid="{D5CDD505-2E9C-101B-9397-08002B2CF9AE}" pid="14" name="labels">
    <vt:lpwstr/>
  </property>
  <property fmtid="{D5CDD505-2E9C-101B-9397-08002B2CF9AE}" pid="15" name="language">
    <vt:lpwstr>../_language-de.yml</vt:lpwstr>
  </property>
  <property fmtid="{D5CDD505-2E9C-101B-9397-08002B2CF9AE}" pid="16" name="subtitle">
    <vt:lpwstr>Diskussionsgrundlage zu den Daten der BWI 2022</vt:lpwstr>
  </property>
  <property fmtid="{D5CDD505-2E9C-101B-9397-08002B2CF9AE}" pid="17" name="toc-title">
    <vt:lpwstr>Inhaltsverzeichnis</vt:lpwstr>
  </property>
</Properties>
</file>