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Informationen</w:t>
      </w:r>
      <w:r>
        <w:t xml:space="preserve"> </w:t>
      </w:r>
      <w:r>
        <w:t xml:space="preserve">aus</w:t>
      </w:r>
      <w:r>
        <w:t xml:space="preserve"> </w:t>
      </w:r>
      <w:r>
        <w:t xml:space="preserve">der</w:t>
      </w:r>
      <w:r>
        <w:t xml:space="preserve"> </w:t>
      </w:r>
      <w:r>
        <w:t xml:space="preserve">Kohlenstoffinventur</w:t>
      </w:r>
    </w:p>
    <w:p>
      <w:pPr>
        <w:pStyle w:val="Subtitle"/>
      </w:pPr>
      <w:r>
        <w:t xml:space="preserve">Kohlenstoffspeicherung</w:t>
      </w:r>
      <w:r>
        <w:t xml:space="preserve"> </w:t>
      </w:r>
      <w:r>
        <w:t xml:space="preserve">als</w:t>
      </w:r>
      <w:r>
        <w:t xml:space="preserve"> </w:t>
      </w:r>
      <w:r>
        <w:t xml:space="preserve">Grundlage</w:t>
      </w:r>
      <w:r>
        <w:t xml:space="preserve"> </w:t>
      </w:r>
      <w:r>
        <w:t xml:space="preserve">für</w:t>
      </w:r>
      <w:r>
        <w:t xml:space="preserve"> </w:t>
      </w:r>
      <w:r>
        <w:t xml:space="preserve">Flächenkompensation</w:t>
      </w:r>
      <w:r>
        <w:t xml:space="preserve"> </w:t>
      </w:r>
      <w:r>
        <w:t xml:space="preserve">nach</w:t>
      </w:r>
      <w:r>
        <w:t xml:space="preserve"> </w:t>
      </w:r>
      <w:r>
        <w:t xml:space="preserve">Waldumwandlung</w:t>
      </w:r>
    </w:p>
    <w:p>
      <w:pPr>
        <w:pStyle w:val="Author"/>
      </w:pPr>
      <w:r>
        <w:t xml:space="preserve">Torsten</w:t>
      </w:r>
      <w:r>
        <w:t xml:space="preserve"> </w:t>
      </w:r>
      <w:r>
        <w:t xml:space="preserve">Wiebke</w:t>
      </w:r>
    </w:p>
    <w:p>
      <w:pPr>
        <w:pStyle w:val="Date"/>
      </w:pPr>
      <w:r>
        <w:t xml:space="preserve">Stand</w:t>
      </w:r>
      <w:r>
        <w:t xml:space="preserve"> </w:t>
      </w:r>
      <w:r>
        <w:t xml:space="preserve">28.</w:t>
      </w:r>
      <w:r>
        <w:t xml:space="preserve"> </w:t>
      </w:r>
      <w:r>
        <w:t xml:space="preserve">8.</w:t>
      </w:r>
      <w:r>
        <w:t xml:space="preserve"> </w:t>
      </w:r>
      <w:r>
        <w:t xml:space="preserve">2024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Inhaltsverzeichnis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20" w:name="X7d8609ceac9d78974b1b5d74591209078ff2cd3"/>
    <w:p>
      <w:pPr>
        <w:pStyle w:val="Heading1"/>
      </w:pPr>
      <w:r>
        <w:t xml:space="preserve">Mittlerer C-Vorrat [t C / ha] ober- und unterirdischer lebender Biomasse nach Baumarten(-gruppen) und Bestandsalter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4077"/>
        <w:gridCol w:w="1685"/>
        <w:gridCol w:w="1825"/>
        <w:gridCol w:w="1825"/>
        <w:gridCol w:w="1685"/>
        <w:gridCol w:w="1825"/>
        <w:gridCol w:w="1965"/>
        <w:gridCol w:w="2105"/>
        <w:gridCol w:w="1965"/>
        <w:gridCol w:w="2105"/>
        <w:gridCol w:w="2105"/>
        <w:gridCol w:w="1720"/>
        <w:gridCol w:w="1650"/>
        <w:gridCol w:w="2962"/>
      </w:tblGrid>
      <w:tr>
        <w:trPr>
          <w:trHeight w:val="622" w:hRule="auto"/>
          <w:tblHeader/>
        </w:trPr>
        header 1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Baumartengruppe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1 - 20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21 - 40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41 - 60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1 - 60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61 - 80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81 - 100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101 - 120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61 - 120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121 - 140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141 - 160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&gt; 160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&gt;120 Jahre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alle Baumaltersklassen</w:t>
            </w:r>
          </w:p>
        </w:tc>
      </w:tr>
      <w:tr>
        <w:trPr>
          <w:trHeight w:val="581" w:hRule="auto"/>
        </w:trPr>
        body 1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Eiche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22,4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71,7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81,6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65,2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137,2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118,3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147,7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134,0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170,6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169,0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187,0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178,9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130,1</w:t>
            </w:r>
          </w:p>
        </w:tc>
      </w:tr>
      <w:tr>
        <w:trPr>
          <w:trHeight w:val="581" w:hRule="auto"/>
        </w:trPr>
        body 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Buche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24,5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113,5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93,4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165,7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163,6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142,8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162,2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170,7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174,2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193,0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179,5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155,9</w:t>
            </w:r>
          </w:p>
        </w:tc>
      </w:tr>
      <w:tr>
        <w:trPr>
          <w:trHeight w:val="581" w:hRule="auto"/>
        </w:trPr>
        body 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andere Lb hoher Lebensdauer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42,6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86,8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130,9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93,6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202,3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90,8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210,5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163,5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274,8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274,8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131,7</w:t>
            </w:r>
          </w:p>
        </w:tc>
      </w:tr>
      <w:tr>
        <w:trPr>
          <w:trHeight w:val="624" w:hRule="auto"/>
        </w:trPr>
        body 4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andere Lb niedriger Lebensdauer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10,3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52,5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63,6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46,2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76,9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82,2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92,3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79,7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135,6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135,6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66,0</w:t>
            </w:r>
          </w:p>
        </w:tc>
      </w:tr>
      <w:tr>
        <w:trPr>
          <w:trHeight w:val="581" w:hRule="auto"/>
        </w:trPr>
        body 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alle Laubbäume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18,7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61,1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83,9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60,9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113,5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110,8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142,8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116,8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164,8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189,1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175,5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105,5</w:t>
            </w:r>
          </w:p>
        </w:tc>
      </w:tr>
      <w:tr>
        <w:trPr>
          <w:trHeight w:val="581" w:hRule="auto"/>
        </w:trPr>
        body 6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Fichte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86,2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76,1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74,8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89,8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219,6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201,5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191,8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120,6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120,6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110,7</w:t>
            </w:r>
          </w:p>
        </w:tc>
      </w:tr>
      <w:tr>
        <w:trPr>
          <w:trHeight w:val="624" w:hRule="auto"/>
        </w:trPr>
        body 7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Douglasie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65,0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78,7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48,7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170,5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71,8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162,4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80,7</w:t>
            </w:r>
          </w:p>
        </w:tc>
      </w:tr>
      <w:tr>
        <w:trPr>
          <w:trHeight w:val="581" w:hRule="auto"/>
        </w:trPr>
        body 8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Kiefer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69,8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90,2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76,5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92,7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98,3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93,5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94,7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90,5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86,3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78,4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89,0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87,5</w:t>
            </w:r>
          </w:p>
        </w:tc>
      </w:tr>
      <w:tr>
        <w:trPr>
          <w:trHeight w:val="581" w:hRule="auto"/>
        </w:trPr>
        body 9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Lärche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18,2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44,6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138,0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95,8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123,2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139,8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125,3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0,0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102,4</w:t>
            </w:r>
          </w:p>
        </w:tc>
      </w:tr>
      <w:tr>
        <w:trPr>
          <w:trHeight w:val="581" w:hRule="auto"/>
        </w:trPr>
        body10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alle Nadelbäume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69,8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90,6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75,8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94,4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99,6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94,7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96,1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90,6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86,3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78,4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89,0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D3D3D3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87,8</w:t>
            </w:r>
          </w:p>
        </w:tc>
      </w:tr>
      <w:tr>
        <w:trPr>
          <w:trHeight w:val="581" w:hRule="auto"/>
        </w:trPr>
        body11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alle Baumarten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15,0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67,9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89,2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72,0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99,1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102,4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103,0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101,0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110,1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126,2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161,2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123,0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DD8E6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0"/>
                <w:szCs w:val="20"/>
                <w:color w:val="000000"/>
              </w:rPr>
              <w:t xml:space="preserve">92,3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de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Normal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Informationen aus der Kohlenstoffinventur</dc:title>
  <dc:creator>Torsten Wiebke</dc:creator>
  <dc:language>de</dc:language>
  <cp:keywords/>
  <dcterms:created xsi:type="dcterms:W3CDTF">2024-08-28T20:27:34Z</dcterms:created>
  <dcterms:modified xsi:type="dcterms:W3CDTF">2024-08-28T20:27:34Z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/>
  </property>
  <property fmtid="{D5CDD505-2E9C-101B-9397-08002B2CF9AE}" pid="3" name="biblio-config">
    <vt:lpwstr>True</vt:lpwstr>
  </property>
  <property fmtid="{D5CDD505-2E9C-101B-9397-08002B2CF9AE}" pid="4" name="bibliography">
    <vt:lpwstr>../../../LaTeX/bib/bibl.bib</vt:lpwstr>
  </property>
  <property fmtid="{D5CDD505-2E9C-101B-9397-08002B2CF9AE}" pid="5" name="by-author">
    <vt:lpwstr/>
  </property>
  <property fmtid="{D5CDD505-2E9C-101B-9397-08002B2CF9AE}" pid="6" name="csl">
    <vt:lpwstr>../../../LaTeX/bib/iso690-author-date-de.csl</vt:lpwstr>
  </property>
  <property fmtid="{D5CDD505-2E9C-101B-9397-08002B2CF9AE}" pid="7" name="date">
    <vt:lpwstr>Stand 28. 8. 2024</vt:lpwstr>
  </property>
  <property fmtid="{D5CDD505-2E9C-101B-9397-08002B2CF9AE}" pid="8" name="date-format">
    <vt:lpwstr>[Stand] D. M. YYYY</vt:lpwstr>
  </property>
  <property fmtid="{D5CDD505-2E9C-101B-9397-08002B2CF9AE}" pid="9" name="editor">
    <vt:lpwstr>visual</vt:lpwstr>
  </property>
  <property fmtid="{D5CDD505-2E9C-101B-9397-08002B2CF9AE}" pid="10" name="header-includes">
    <vt:lpwstr/>
  </property>
  <property fmtid="{D5CDD505-2E9C-101B-9397-08002B2CF9AE}" pid="11" name="include-after">
    <vt:lpwstr/>
  </property>
  <property fmtid="{D5CDD505-2E9C-101B-9397-08002B2CF9AE}" pid="12" name="include-before">
    <vt:lpwstr/>
  </property>
  <property fmtid="{D5CDD505-2E9C-101B-9397-08002B2CF9AE}" pid="13" name="institution">
    <vt:lpwstr>Landeskompetenzzentrum Forst Eberswalde</vt:lpwstr>
  </property>
  <property fmtid="{D5CDD505-2E9C-101B-9397-08002B2CF9AE}" pid="14" name="labels">
    <vt:lpwstr/>
  </property>
  <property fmtid="{D5CDD505-2E9C-101B-9397-08002B2CF9AE}" pid="15" name="subtitle">
    <vt:lpwstr>Kohlenstoffspeicherung als Grundlage für Flächenkompensation nach Waldumwandlung</vt:lpwstr>
  </property>
  <property fmtid="{D5CDD505-2E9C-101B-9397-08002B2CF9AE}" pid="16" name="toc-title">
    <vt:lpwstr>Inhaltsverzeichnis</vt:lpwstr>
  </property>
</Properties>
</file>